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EE30" w14:textId="6D74361C" w:rsidR="0043157E" w:rsidRPr="005C50FE" w:rsidRDefault="007F2966" w:rsidP="005A4C1A">
      <w:pPr>
        <w:pStyle w:val="Header"/>
        <w:tabs>
          <w:tab w:val="clear" w:pos="4320"/>
        </w:tabs>
        <w:ind w:hanging="426"/>
        <w:rPr>
          <w:sz w:val="32"/>
        </w:rPr>
      </w:pPr>
      <w:r>
        <w:rPr>
          <w:noProof/>
          <w:lang w:val="en-AU" w:eastAsia="en-AU"/>
        </w:rPr>
        <w:drawing>
          <wp:inline distT="0" distB="0" distL="0" distR="0" wp14:anchorId="59F30572" wp14:editId="7D4AF0E9">
            <wp:extent cx="1479550" cy="1479550"/>
            <wp:effectExtent l="0" t="0" r="6350" b="6350"/>
            <wp:docPr id="5" name="Picture 5"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wording underneath.jpg"/>
                    <pic:cNvPicPr/>
                  </pic:nvPicPr>
                  <pic:blipFill>
                    <a:blip r:embed="rId11">
                      <a:extLst>
                        <a:ext uri="{28A0092B-C50C-407E-A947-70E740481C1C}">
                          <a14:useLocalDpi xmlns:a14="http://schemas.microsoft.com/office/drawing/2010/main" val="0"/>
                        </a:ext>
                      </a:extLst>
                    </a:blip>
                    <a:stretch>
                      <a:fillRect/>
                    </a:stretch>
                  </pic:blipFill>
                  <pic:spPr>
                    <a:xfrm>
                      <a:off x="0" y="0"/>
                      <a:ext cx="1476309" cy="1476309"/>
                    </a:xfrm>
                    <a:prstGeom prst="rect">
                      <a:avLst/>
                    </a:prstGeom>
                  </pic:spPr>
                </pic:pic>
              </a:graphicData>
            </a:graphic>
          </wp:inline>
        </w:drawing>
      </w:r>
      <w:r w:rsidR="001F68A9">
        <w:rPr>
          <w:sz w:val="32"/>
        </w:rPr>
        <w:tab/>
      </w:r>
      <w:r w:rsidR="001F68A9" w:rsidRPr="001F68A9">
        <w:rPr>
          <w:b/>
          <w:bCs/>
          <w:sz w:val="40"/>
          <w:szCs w:val="32"/>
        </w:rPr>
        <w:t>M</w:t>
      </w:r>
      <w:r w:rsidR="0043157E" w:rsidRPr="001F68A9">
        <w:rPr>
          <w:b/>
          <w:bCs/>
          <w:sz w:val="40"/>
          <w:szCs w:val="32"/>
        </w:rPr>
        <w:t>edia release</w:t>
      </w:r>
    </w:p>
    <w:p w14:paraId="175CE86A" w14:textId="77777777" w:rsidR="005C50FE" w:rsidRPr="001F68A9" w:rsidRDefault="005C50FE" w:rsidP="005C50FE">
      <w:pPr>
        <w:pStyle w:val="NoSpacing"/>
        <w:rPr>
          <w:rFonts w:eastAsiaTheme="majorEastAsia" w:cstheme="majorBidi"/>
          <w:b/>
          <w:bCs/>
          <w:color w:val="00767F"/>
          <w:sz w:val="22"/>
          <w:szCs w:val="22"/>
          <w:lang w:val="en-AU"/>
        </w:rPr>
      </w:pPr>
    </w:p>
    <w:p w14:paraId="5E3A2C25" w14:textId="5C524F87" w:rsidR="00C632E8" w:rsidRDefault="00DD237C" w:rsidP="005A4C1A">
      <w:pPr>
        <w:pStyle w:val="NoSpacing"/>
        <w:jc w:val="center"/>
        <w:rPr>
          <w:rFonts w:eastAsiaTheme="majorEastAsia" w:cstheme="majorBidi"/>
          <w:b/>
          <w:bCs/>
          <w:color w:val="00767F"/>
          <w:sz w:val="32"/>
          <w:szCs w:val="32"/>
          <w:lang w:val="en-AU"/>
        </w:rPr>
      </w:pPr>
      <w:r w:rsidRPr="00DD237C">
        <w:rPr>
          <w:rFonts w:eastAsiaTheme="majorEastAsia" w:cstheme="majorBidi"/>
          <w:b/>
          <w:bCs/>
          <w:color w:val="00767F"/>
          <w:sz w:val="32"/>
          <w:szCs w:val="32"/>
          <w:lang w:val="en-AU"/>
        </w:rPr>
        <w:t>Budget Fail for Australians with Disabili</w:t>
      </w:r>
      <w:r>
        <w:rPr>
          <w:rFonts w:eastAsiaTheme="majorEastAsia" w:cstheme="majorBidi"/>
          <w:b/>
          <w:bCs/>
          <w:color w:val="00767F"/>
          <w:sz w:val="32"/>
          <w:szCs w:val="32"/>
          <w:lang w:val="en-AU"/>
        </w:rPr>
        <w:t>ty</w:t>
      </w:r>
    </w:p>
    <w:p w14:paraId="1420581E" w14:textId="77777777" w:rsidR="00DD237C" w:rsidRPr="005A4C1A" w:rsidRDefault="00DD237C" w:rsidP="00C632E8">
      <w:pPr>
        <w:pStyle w:val="NoSpacing"/>
        <w:rPr>
          <w:rFonts w:eastAsiaTheme="majorEastAsia" w:cstheme="majorBidi"/>
          <w:b/>
          <w:bCs/>
          <w:color w:val="00767F"/>
          <w:sz w:val="20"/>
          <w:szCs w:val="20"/>
          <w:lang w:val="en-AU"/>
        </w:rPr>
      </w:pPr>
    </w:p>
    <w:p w14:paraId="539CA263" w14:textId="3F091F6B" w:rsidR="00B07206" w:rsidRPr="00B07206" w:rsidRDefault="00B07206" w:rsidP="00B07206">
      <w:pPr>
        <w:pStyle w:val="NoSpacing"/>
        <w:rPr>
          <w:lang w:val="en-AU"/>
        </w:rPr>
      </w:pPr>
      <w:r w:rsidRPr="00B07206">
        <w:rPr>
          <w:lang w:val="en-AU"/>
        </w:rPr>
        <w:t xml:space="preserve">A sprinkling of cost-of-living relief, for some, is an inadequate Budget response to the significant challenges and major reforms facing people with disability, their families and communities right now and into the foreseeable future. </w:t>
      </w:r>
    </w:p>
    <w:p w14:paraId="3B0EA4A1" w14:textId="77777777" w:rsidR="00B07206" w:rsidRPr="00B07206" w:rsidRDefault="00B07206" w:rsidP="00B07206">
      <w:pPr>
        <w:pStyle w:val="NoSpacing"/>
        <w:rPr>
          <w:lang w:val="en-AU"/>
        </w:rPr>
      </w:pPr>
      <w:r w:rsidRPr="00B07206">
        <w:rPr>
          <w:sz w:val="16"/>
          <w:szCs w:val="16"/>
          <w:lang w:val="en-AU"/>
        </w:rPr>
        <w:br/>
      </w:r>
      <w:r w:rsidRPr="00B07206">
        <w:rPr>
          <w:lang w:val="en-AU"/>
        </w:rPr>
        <w:t>“There are whole areas that are just missing in action for people with disability,” says Australian Federation of Disability Organisations (AFDO) Chief Executive Officer, Ross Joyce, ‘’And that’s an incredibly disappointing missed opportunity for this government.”</w:t>
      </w:r>
    </w:p>
    <w:p w14:paraId="3BCE8736" w14:textId="77777777" w:rsidR="00B07206" w:rsidRPr="00B07206" w:rsidRDefault="00B07206" w:rsidP="00B07206">
      <w:pPr>
        <w:pStyle w:val="NoSpacing"/>
        <w:rPr>
          <w:sz w:val="16"/>
          <w:szCs w:val="16"/>
          <w:lang w:val="en-AU"/>
        </w:rPr>
      </w:pPr>
    </w:p>
    <w:p w14:paraId="7D25EA78" w14:textId="77777777" w:rsidR="00B07206" w:rsidRPr="00B07206" w:rsidRDefault="00B07206" w:rsidP="00B07206">
      <w:pPr>
        <w:pStyle w:val="NoSpacing"/>
        <w:rPr>
          <w:lang w:val="en-AU"/>
        </w:rPr>
      </w:pPr>
      <w:r w:rsidRPr="00B07206">
        <w:rPr>
          <w:lang w:val="en-AU"/>
        </w:rPr>
        <w:t xml:space="preserve">Joyce continued, “Whilst there is some cost-of-living relief with a tax reduction (for those employed), a one-off energy rebate (for those with homes), a meagre increase on rental assistance (for those stuck in rentals) and some cheaper medicines the big-ticket items deliver very little” </w:t>
      </w:r>
    </w:p>
    <w:p w14:paraId="32A10537" w14:textId="77777777" w:rsidR="00B07206" w:rsidRPr="00B07206" w:rsidRDefault="00B07206" w:rsidP="00B07206">
      <w:pPr>
        <w:pStyle w:val="NoSpacing"/>
        <w:rPr>
          <w:sz w:val="16"/>
          <w:szCs w:val="16"/>
          <w:lang w:val="en-AU"/>
        </w:rPr>
      </w:pPr>
    </w:p>
    <w:p w14:paraId="6651E020" w14:textId="77777777" w:rsidR="00B07206" w:rsidRPr="00B07206" w:rsidRDefault="00B07206" w:rsidP="00B07206">
      <w:pPr>
        <w:pStyle w:val="NoSpacing"/>
        <w:rPr>
          <w:lang w:val="en-AU"/>
        </w:rPr>
      </w:pPr>
      <w:r w:rsidRPr="00B07206">
        <w:rPr>
          <w:lang w:val="en-AU"/>
        </w:rPr>
        <w:t>It’s estimated there are 200,000 people with disability who are denied access to the Disability Support Pension (DSP) and are relegated to the substantially lower JobSeeker payment. In addition, those who do receive the below-the-poverty line DSP last received a mere $1.40 a day increase for a single rate in April, well below the runaway cost of living expense. There is nothing in this budget that addresses these ongoing inequities, further relegating Australians with disability to a lifetime of entrenched disadvantage.</w:t>
      </w:r>
    </w:p>
    <w:p w14:paraId="6E1020F6" w14:textId="77777777" w:rsidR="00B07206" w:rsidRPr="00B07206" w:rsidRDefault="00B07206" w:rsidP="00B07206">
      <w:pPr>
        <w:pStyle w:val="NoSpacing"/>
        <w:rPr>
          <w:sz w:val="16"/>
          <w:szCs w:val="16"/>
          <w:lang w:val="en-AU"/>
        </w:rPr>
      </w:pPr>
    </w:p>
    <w:p w14:paraId="7BCD6870" w14:textId="77777777" w:rsidR="00B07206" w:rsidRPr="00B07206" w:rsidRDefault="00B07206" w:rsidP="00B07206">
      <w:pPr>
        <w:pStyle w:val="NoSpacing"/>
        <w:rPr>
          <w:lang w:val="en-AU"/>
        </w:rPr>
      </w:pPr>
      <w:r w:rsidRPr="00B07206">
        <w:rPr>
          <w:lang w:val="en-AU"/>
        </w:rPr>
        <w:t>AFDO President, Grant Lindsay noted, “A person with disability has a daily impact from cost-of-living pressures far greater than those without a disability. It costs more to live with a disability and despite our Members continued advice the Government has again failed to recognise the obvious.”</w:t>
      </w:r>
    </w:p>
    <w:p w14:paraId="122C8042" w14:textId="77777777" w:rsidR="00B07206" w:rsidRPr="00B07206" w:rsidRDefault="00B07206" w:rsidP="00B07206">
      <w:pPr>
        <w:pStyle w:val="NoSpacing"/>
        <w:rPr>
          <w:sz w:val="16"/>
          <w:szCs w:val="16"/>
          <w:lang w:val="en-AU"/>
        </w:rPr>
      </w:pPr>
    </w:p>
    <w:p w14:paraId="50412949" w14:textId="77777777" w:rsidR="00B07206" w:rsidRPr="00B07206" w:rsidRDefault="00B07206" w:rsidP="00B07206">
      <w:pPr>
        <w:pStyle w:val="NoSpacing"/>
        <w:rPr>
          <w:lang w:val="en-AU"/>
        </w:rPr>
      </w:pPr>
      <w:r w:rsidRPr="00B07206">
        <w:rPr>
          <w:lang w:val="en-AU"/>
        </w:rPr>
        <w:t xml:space="preserve">There are also no additional funds to support people with disability and their advocacy organisations such as AFDO and our Members to undertake significant work on the biggest reforms to their lives since the introduction of the National Disability Insurance Scheme. </w:t>
      </w:r>
    </w:p>
    <w:p w14:paraId="6ED9B008" w14:textId="77777777" w:rsidR="00B07206" w:rsidRPr="00B07206" w:rsidRDefault="00B07206" w:rsidP="00B07206">
      <w:pPr>
        <w:pStyle w:val="NoSpacing"/>
        <w:rPr>
          <w:sz w:val="16"/>
          <w:szCs w:val="16"/>
          <w:lang w:val="en-AU"/>
        </w:rPr>
      </w:pPr>
    </w:p>
    <w:p w14:paraId="30430CEE" w14:textId="213A8B19" w:rsidR="00B07206" w:rsidRPr="00B07206" w:rsidRDefault="00B07206" w:rsidP="00B07206">
      <w:pPr>
        <w:pStyle w:val="NoSpacing"/>
        <w:rPr>
          <w:lang w:val="en-AU"/>
        </w:rPr>
      </w:pPr>
      <w:r w:rsidRPr="00B07206">
        <w:rPr>
          <w:lang w:val="en-AU"/>
        </w:rPr>
        <w:t xml:space="preserve">Lindsay added, “Beyond the Budget areas we have no funds to do the enormous work needed on the recommendations from both the Disability Royal Commission and the NDIS Review, with this funding increase called for by the Disability Royal Commission, and to cap this off the Government is still sitting on its hands on its responses to both. The use of terms like co-design and consultation begin to feel like just more throwaway lines.” </w:t>
      </w:r>
    </w:p>
    <w:p w14:paraId="1753E134" w14:textId="77777777" w:rsidR="00B07206" w:rsidRPr="00B07206" w:rsidRDefault="00B07206" w:rsidP="00B07206">
      <w:pPr>
        <w:pStyle w:val="NoSpacing"/>
        <w:rPr>
          <w:lang w:val="en-AU"/>
        </w:rPr>
      </w:pPr>
    </w:p>
    <w:p w14:paraId="07F33A19" w14:textId="54E4242F" w:rsidR="00B07206" w:rsidRPr="00B07206" w:rsidRDefault="00B07206" w:rsidP="00B07206">
      <w:pPr>
        <w:pStyle w:val="NoSpacing"/>
        <w:rPr>
          <w:lang w:val="en-AU"/>
        </w:rPr>
      </w:pPr>
      <w:r w:rsidRPr="00B07206">
        <w:rPr>
          <w:lang w:val="en-AU"/>
        </w:rPr>
        <w:lastRenderedPageBreak/>
        <w:t>AFDO and our Members are tired of the National Disability Insurance Scheme (NDIS) and associated measures being depicted negatively, focusing on "cost blowout" and "economic burden." This simplistic framing overlooks the positive outcomes of investing in timely disability supports, its contribution to Australia’s economic growth, plus real savings across health, mental health, aged care and allowing family carers to participate in employment</w:t>
      </w:r>
      <w:r w:rsidR="00872C52">
        <w:rPr>
          <w:lang w:val="en-AU"/>
        </w:rPr>
        <w:t xml:space="preserve"> now actively</w:t>
      </w:r>
      <w:r w:rsidRPr="00B07206">
        <w:rPr>
          <w:lang w:val="en-AU"/>
        </w:rPr>
        <w:t>.</w:t>
      </w:r>
    </w:p>
    <w:p w14:paraId="19087906" w14:textId="77777777" w:rsidR="00B07206" w:rsidRPr="00B07206" w:rsidRDefault="00B07206" w:rsidP="00B07206">
      <w:pPr>
        <w:pStyle w:val="NoSpacing"/>
        <w:rPr>
          <w:sz w:val="16"/>
          <w:szCs w:val="16"/>
          <w:lang w:val="en-AU"/>
        </w:rPr>
      </w:pPr>
    </w:p>
    <w:p w14:paraId="75178789" w14:textId="6C9826DC" w:rsidR="00B07206" w:rsidRPr="00B07206" w:rsidRDefault="00B07206" w:rsidP="00B07206">
      <w:pPr>
        <w:pStyle w:val="NoSpacing"/>
        <w:rPr>
          <w:lang w:val="en-AU"/>
        </w:rPr>
      </w:pPr>
      <w:r w:rsidRPr="00B07206">
        <w:rPr>
          <w:lang w:val="en-AU"/>
        </w:rPr>
        <w:t>Restriction on the funding levels for the NDIS is a serious concern in terms of impacts for participant’s plans and supports then added to when there are significant new funds worth $83.9 million being thrown at fraud control. This is something AFDO and our Members expected, like every other government program including pensions and benefits, would be already built into its staffing, risk management and compliance resources from the outset. These funds could be better utilised elsewhere to support people with disability.</w:t>
      </w:r>
    </w:p>
    <w:p w14:paraId="22B780FE" w14:textId="77777777" w:rsidR="00B07206" w:rsidRPr="00B07206" w:rsidRDefault="00B07206" w:rsidP="00B07206">
      <w:pPr>
        <w:pStyle w:val="NoSpacing"/>
        <w:rPr>
          <w:sz w:val="16"/>
          <w:szCs w:val="16"/>
          <w:lang w:val="en-AU"/>
        </w:rPr>
      </w:pPr>
    </w:p>
    <w:p w14:paraId="547DA25E" w14:textId="39A45CEA" w:rsidR="00B07206" w:rsidRPr="00B07206" w:rsidRDefault="00B07206" w:rsidP="00B07206">
      <w:pPr>
        <w:pStyle w:val="NoSpacing"/>
        <w:rPr>
          <w:lang w:val="en-AU"/>
        </w:rPr>
      </w:pPr>
      <w:r w:rsidRPr="00B07206">
        <w:rPr>
          <w:lang w:val="en-GB"/>
        </w:rPr>
        <w:t>While AFDO welcomes measures to address male violence/violence against women we note there were no specific interventions for women with disability despite them being twice as likely to experience domestic violence than women without</w:t>
      </w:r>
      <w:r w:rsidR="005A4C1A">
        <w:rPr>
          <w:lang w:val="en-GB"/>
        </w:rPr>
        <w:t xml:space="preserve"> disability</w:t>
      </w:r>
    </w:p>
    <w:p w14:paraId="72CAD320" w14:textId="77777777" w:rsidR="00B07206" w:rsidRPr="00B07206" w:rsidRDefault="00B07206" w:rsidP="00B07206">
      <w:pPr>
        <w:pStyle w:val="NoSpacing"/>
        <w:rPr>
          <w:sz w:val="16"/>
          <w:szCs w:val="16"/>
          <w:lang w:val="en-AU"/>
        </w:rPr>
      </w:pPr>
    </w:p>
    <w:p w14:paraId="607E642D" w14:textId="68DCA139" w:rsidR="00B07206" w:rsidRPr="00B07206" w:rsidRDefault="00B07206" w:rsidP="00B07206">
      <w:pPr>
        <w:pStyle w:val="NoSpacing"/>
        <w:rPr>
          <w:lang w:val="en-AU"/>
        </w:rPr>
      </w:pPr>
      <w:r w:rsidRPr="00B07206">
        <w:rPr>
          <w:lang w:val="en-AU"/>
        </w:rPr>
        <w:t>AFDO maintains that another revamp of the Disability Employment Service costing $227.6 million next year,</w:t>
      </w:r>
      <w:r w:rsidRPr="00B07206">
        <w:rPr>
          <w:b/>
          <w:bCs/>
          <w:lang w:val="en-AU"/>
        </w:rPr>
        <w:t xml:space="preserve"> </w:t>
      </w:r>
      <w:r w:rsidRPr="00B07206">
        <w:rPr>
          <w:lang w:val="en-AU"/>
        </w:rPr>
        <w:t>will just further up end people with disability and will still not shift their employment participation rate which hasn’t moved for the last twenty-five years and is not money well spent.</w:t>
      </w:r>
    </w:p>
    <w:p w14:paraId="6BD60E47" w14:textId="77777777" w:rsidR="00B07206" w:rsidRPr="00B07206" w:rsidRDefault="00B07206" w:rsidP="00B07206">
      <w:pPr>
        <w:pStyle w:val="NoSpacing"/>
        <w:rPr>
          <w:sz w:val="16"/>
          <w:szCs w:val="16"/>
          <w:lang w:val="en-AU"/>
        </w:rPr>
      </w:pPr>
    </w:p>
    <w:p w14:paraId="68836218" w14:textId="0DEEA445" w:rsidR="00C632E8" w:rsidRDefault="00B07206" w:rsidP="00B07206">
      <w:pPr>
        <w:pStyle w:val="NoSpacing"/>
      </w:pPr>
      <w:r w:rsidRPr="00B07206">
        <w:rPr>
          <w:lang w:val="en-AU"/>
        </w:rPr>
        <w:t>While acknowledging some positive aspects, AFDO rates this budget as a failure for people with disability, underscoring the urgent need for meaningful reform and genuine support for the disability community.</w:t>
      </w:r>
      <w:r w:rsidR="00C632E8">
        <w:t xml:space="preserve"> </w:t>
      </w:r>
    </w:p>
    <w:p w14:paraId="13571F25" w14:textId="77777777" w:rsidR="00C632E8" w:rsidRDefault="00C632E8" w:rsidP="00C632E8">
      <w:pPr>
        <w:pStyle w:val="NoSpacing"/>
      </w:pPr>
    </w:p>
    <w:p w14:paraId="5B37F22C" w14:textId="77777777" w:rsidR="001D09CE" w:rsidRDefault="001D09CE" w:rsidP="00C632E8">
      <w:pPr>
        <w:pStyle w:val="NoSpacing"/>
      </w:pPr>
    </w:p>
    <w:p w14:paraId="6D8DA190" w14:textId="77777777" w:rsidR="0080134E" w:rsidRDefault="0080134E" w:rsidP="00C632E8">
      <w:pPr>
        <w:pStyle w:val="NoSpacing"/>
      </w:pPr>
    </w:p>
    <w:p w14:paraId="26670030" w14:textId="77777777" w:rsidR="0080134E" w:rsidRDefault="009B49BA" w:rsidP="009F4C04">
      <w:pPr>
        <w:pStyle w:val="NoSpacing"/>
        <w:rPr>
          <w:b/>
        </w:rPr>
      </w:pPr>
      <w:r w:rsidRPr="00A9250A">
        <w:rPr>
          <w:b/>
        </w:rPr>
        <w:t xml:space="preserve">For more </w:t>
      </w:r>
      <w:r w:rsidRPr="00C41809">
        <w:rPr>
          <w:b/>
          <w:noProof/>
        </w:rPr>
        <w:t>information</w:t>
      </w:r>
      <w:r w:rsidR="00AE41EC">
        <w:rPr>
          <w:b/>
          <w:noProof/>
        </w:rPr>
        <w:t>,</w:t>
      </w:r>
      <w:r w:rsidRPr="00A9250A">
        <w:rPr>
          <w:b/>
        </w:rPr>
        <w:t xml:space="preserve"> contact</w:t>
      </w:r>
      <w:r w:rsidR="0080134E">
        <w:rPr>
          <w:b/>
        </w:rPr>
        <w:t>;</w:t>
      </w:r>
    </w:p>
    <w:p w14:paraId="1C259CE0" w14:textId="77777777" w:rsidR="0080134E" w:rsidRDefault="0080134E" w:rsidP="009F4C04">
      <w:pPr>
        <w:pStyle w:val="NoSpacing"/>
        <w:rPr>
          <w:b/>
        </w:rPr>
      </w:pPr>
    </w:p>
    <w:p w14:paraId="031F65AF" w14:textId="77777777" w:rsidR="0080134E" w:rsidRDefault="001D09CE" w:rsidP="009F4C04">
      <w:pPr>
        <w:pStyle w:val="NoSpacing"/>
        <w:rPr>
          <w:b/>
        </w:rPr>
      </w:pPr>
      <w:r>
        <w:rPr>
          <w:b/>
        </w:rPr>
        <w:t xml:space="preserve">AFDO CEO, </w:t>
      </w:r>
      <w:r w:rsidR="009B49BA" w:rsidRPr="00A9250A">
        <w:rPr>
          <w:b/>
        </w:rPr>
        <w:t>Ross Joyce on 0402 842 040</w:t>
      </w:r>
      <w:r w:rsidR="00267239" w:rsidRPr="00A9250A">
        <w:rPr>
          <w:b/>
        </w:rPr>
        <w:t>.</w:t>
      </w:r>
    </w:p>
    <w:p w14:paraId="39030824" w14:textId="77777777" w:rsidR="0080134E" w:rsidRDefault="0080134E" w:rsidP="009F4C04">
      <w:pPr>
        <w:pStyle w:val="NoSpacing"/>
        <w:rPr>
          <w:b/>
        </w:rPr>
      </w:pPr>
    </w:p>
    <w:p w14:paraId="471B89BF" w14:textId="46CCAB2E" w:rsidR="009B49BA" w:rsidRPr="00A9250A" w:rsidRDefault="0080134E" w:rsidP="009F4C04">
      <w:pPr>
        <w:pStyle w:val="NoSpacing"/>
        <w:rPr>
          <w:b/>
        </w:rPr>
      </w:pPr>
      <w:r>
        <w:rPr>
          <w:b/>
        </w:rPr>
        <w:t>AFDO President, Grant Lindsay o</w:t>
      </w:r>
      <w:r w:rsidR="001424D9">
        <w:rPr>
          <w:b/>
        </w:rPr>
        <w:t>n</w:t>
      </w:r>
      <w:r w:rsidR="00C2058C">
        <w:rPr>
          <w:b/>
        </w:rPr>
        <w:t xml:space="preserve"> 04</w:t>
      </w:r>
      <w:r w:rsidR="005B24D5">
        <w:rPr>
          <w:b/>
        </w:rPr>
        <w:t>22 228 467</w:t>
      </w:r>
    </w:p>
    <w:p w14:paraId="60722285" w14:textId="77777777" w:rsidR="005C50FE" w:rsidRDefault="005C50FE">
      <w:pPr>
        <w:spacing w:before="0" w:after="0" w:line="240" w:lineRule="auto"/>
        <w:rPr>
          <w:rFonts w:eastAsiaTheme="majorEastAsia" w:cstheme="majorBidi"/>
          <w:b/>
          <w:bCs/>
          <w:color w:val="00767F"/>
          <w:sz w:val="32"/>
          <w:szCs w:val="32"/>
        </w:rPr>
      </w:pPr>
      <w:r>
        <w:br w:type="page"/>
      </w:r>
    </w:p>
    <w:p w14:paraId="60001253" w14:textId="70B23BE3" w:rsidR="00D46F8C" w:rsidRDefault="00C9740C" w:rsidP="00D46F8C">
      <w:pPr>
        <w:pStyle w:val="Heading1"/>
      </w:pPr>
      <w:r>
        <w:lastRenderedPageBreak/>
        <w:t>About</w:t>
      </w:r>
      <w:r w:rsidR="00D46F8C">
        <w:t xml:space="preserve"> AFDO</w:t>
      </w:r>
    </w:p>
    <w:p w14:paraId="7425421A" w14:textId="77777777" w:rsidR="005C7121" w:rsidRPr="005C7121" w:rsidRDefault="005C7121" w:rsidP="005C7121">
      <w:pPr>
        <w:spacing w:before="100" w:beforeAutospacing="1" w:after="120" w:afterAutospacing="1" w:line="240" w:lineRule="auto"/>
        <w:textAlignment w:val="baseline"/>
        <w:rPr>
          <w:rFonts w:eastAsia="Calibri" w:cs="Arial"/>
          <w:lang w:val="en-AU" w:eastAsia="zh-CN"/>
        </w:rPr>
      </w:pPr>
      <w:r w:rsidRPr="005C7121">
        <w:rPr>
          <w:rFonts w:eastAsia="Calibri" w:cs="Arial"/>
          <w:lang w:val="en-AU" w:eastAsia="zh-CN"/>
        </w:rPr>
        <w:t xml:space="preserve">The Australian Federation of Disability Organisations (AFDO) is a Disabled People’s Organisation (DPO) run by and for people with disability, reaching over 4 million Australians. We are a unique representative organisation covering both disability specific and population-based disability communities and the pre-eminent national voice representing people with disability across Australia and internationally. </w:t>
      </w:r>
    </w:p>
    <w:p w14:paraId="5465D861" w14:textId="77777777" w:rsidR="005C7121" w:rsidRDefault="005C7121" w:rsidP="005C7121">
      <w:pPr>
        <w:spacing w:before="0" w:after="120"/>
        <w:textAlignment w:val="baseline"/>
        <w:rPr>
          <w:rFonts w:eastAsia="Arial" w:cs="Arial"/>
          <w:lang w:val="en-AU" w:eastAsia="en-AU"/>
        </w:rPr>
      </w:pPr>
      <w:r w:rsidRPr="005C7121">
        <w:rPr>
          <w:rFonts w:eastAsia="Calibri" w:cs="Arial"/>
          <w:lang w:val="en-AU" w:eastAsia="zh-CN"/>
        </w:rPr>
        <w:t>Our Members are 36 national and state disability advocacy organisations run by and for people with disability and their families, representing Australians with disability. Our vision is “</w:t>
      </w:r>
      <w:r w:rsidRPr="005C7121">
        <w:rPr>
          <w:rFonts w:eastAsia="Arial" w:cs="Arial"/>
          <w:lang w:val="en-AU" w:eastAsia="en-AU"/>
        </w:rPr>
        <w:t>T</w:t>
      </w:r>
      <w:r w:rsidRPr="005C7121">
        <w:rPr>
          <w:rFonts w:eastAsia="Arial" w:cs="Arial"/>
          <w:lang w:eastAsia="en-AU"/>
        </w:rPr>
        <w:t>hat all people with disabilities must be involved equally in all aspects of social, economic, political and cultural life.”</w:t>
      </w:r>
      <w:r w:rsidRPr="005C7121">
        <w:rPr>
          <w:rFonts w:eastAsia="Arial" w:cs="Arial"/>
          <w:lang w:val="en-AU" w:eastAsia="en-AU"/>
        </w:rPr>
        <w:t> </w:t>
      </w:r>
    </w:p>
    <w:p w14:paraId="060F26B4" w14:textId="77777777" w:rsidR="00642B88" w:rsidRDefault="00642B88" w:rsidP="005C7121">
      <w:pPr>
        <w:spacing w:before="0" w:after="120"/>
        <w:textAlignment w:val="baseline"/>
        <w:rPr>
          <w:rFonts w:ascii="Times New Roman" w:eastAsia="Times New Roman" w:hAnsi="Times New Roman" w:cs="Times New Roman"/>
          <w:lang w:val="en-AU" w:eastAsia="en-AU"/>
        </w:rPr>
      </w:pPr>
    </w:p>
    <w:p w14:paraId="622AE1AB" w14:textId="01D93D3E" w:rsidR="005C7121" w:rsidRPr="005C7121" w:rsidRDefault="005C7121" w:rsidP="005C7121">
      <w:pPr>
        <w:spacing w:before="0" w:after="120"/>
        <w:textAlignment w:val="baseline"/>
        <w:rPr>
          <w:rFonts w:eastAsia="Arial" w:cs="Arial"/>
          <w:b/>
          <w:bCs/>
          <w:lang w:eastAsia="en-AU"/>
        </w:rPr>
      </w:pPr>
      <w:hyperlink r:id="rId12" w:history="1">
        <w:r w:rsidRPr="005C7121">
          <w:rPr>
            <w:rFonts w:eastAsia="Arial" w:cs="Arial"/>
            <w:b/>
            <w:bCs/>
            <w:color w:val="000000"/>
            <w:u w:val="single"/>
            <w:lang w:eastAsia="en-AU"/>
          </w:rPr>
          <w:t>Our Members:</w:t>
        </w:r>
      </w:hyperlink>
    </w:p>
    <w:tbl>
      <w:tblPr>
        <w:tblStyle w:val="TableGrid"/>
        <w:tblpPr w:leftFromText="180" w:rightFromText="180"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107"/>
      </w:tblGrid>
      <w:tr w:rsidR="005C7121" w:rsidRPr="005C7121" w14:paraId="5FE2B4D5" w14:textId="77777777" w:rsidTr="00C018ED">
        <w:tc>
          <w:tcPr>
            <w:tcW w:w="4811" w:type="dxa"/>
          </w:tcPr>
          <w:p w14:paraId="2220548F"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Advocacy for Inclusion Inc. – ACT</w:t>
            </w:r>
          </w:p>
        </w:tc>
        <w:tc>
          <w:tcPr>
            <w:tcW w:w="5107" w:type="dxa"/>
          </w:tcPr>
          <w:p w14:paraId="4D58B9F4"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Arts Access Australia </w:t>
            </w:r>
          </w:p>
        </w:tc>
      </w:tr>
      <w:tr w:rsidR="005C7121" w:rsidRPr="005C7121" w14:paraId="2488BACB" w14:textId="77777777" w:rsidTr="00C018ED">
        <w:tc>
          <w:tcPr>
            <w:tcW w:w="4811" w:type="dxa"/>
          </w:tcPr>
          <w:p w14:paraId="17403E80"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Autism Aspergers Advocacy Australia</w:t>
            </w:r>
          </w:p>
        </w:tc>
        <w:tc>
          <w:tcPr>
            <w:tcW w:w="5107" w:type="dxa"/>
          </w:tcPr>
          <w:p w14:paraId="16AA764A"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Blind Citizens Australia </w:t>
            </w:r>
          </w:p>
        </w:tc>
      </w:tr>
      <w:tr w:rsidR="005C7121" w:rsidRPr="005C7121" w14:paraId="0F897748" w14:textId="77777777" w:rsidTr="00C018ED">
        <w:tc>
          <w:tcPr>
            <w:tcW w:w="4811" w:type="dxa"/>
          </w:tcPr>
          <w:p w14:paraId="2C72C348"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Brain Injury Australia</w:t>
            </w:r>
          </w:p>
        </w:tc>
        <w:tc>
          <w:tcPr>
            <w:tcW w:w="5107" w:type="dxa"/>
          </w:tcPr>
          <w:p w14:paraId="49BA6A36"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Deaf Australia </w:t>
            </w:r>
          </w:p>
        </w:tc>
      </w:tr>
      <w:tr w:rsidR="005C7121" w:rsidRPr="005C7121" w14:paraId="53B2DF3A" w14:textId="77777777" w:rsidTr="00C018ED">
        <w:tc>
          <w:tcPr>
            <w:tcW w:w="4811" w:type="dxa"/>
          </w:tcPr>
          <w:p w14:paraId="27B1BA95"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Deafblind Australia</w:t>
            </w:r>
          </w:p>
        </w:tc>
        <w:tc>
          <w:tcPr>
            <w:tcW w:w="5107" w:type="dxa"/>
          </w:tcPr>
          <w:p w14:paraId="684FAD29"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Deafness Forum Australia </w:t>
            </w:r>
          </w:p>
        </w:tc>
      </w:tr>
      <w:tr w:rsidR="005C7121" w:rsidRPr="005C7121" w14:paraId="1AF9A68D" w14:textId="77777777" w:rsidTr="00C018ED">
        <w:tc>
          <w:tcPr>
            <w:tcW w:w="4811" w:type="dxa"/>
          </w:tcPr>
          <w:p w14:paraId="102A8C0A"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Disability Advocacy Network Australia</w:t>
            </w:r>
          </w:p>
        </w:tc>
        <w:tc>
          <w:tcPr>
            <w:tcW w:w="5107" w:type="dxa"/>
          </w:tcPr>
          <w:p w14:paraId="4B4B188D"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Disability Justice Australia  </w:t>
            </w:r>
          </w:p>
        </w:tc>
      </w:tr>
      <w:tr w:rsidR="005C7121" w:rsidRPr="005C7121" w14:paraId="2059E934" w14:textId="77777777" w:rsidTr="00C018ED">
        <w:tc>
          <w:tcPr>
            <w:tcW w:w="4811" w:type="dxa"/>
          </w:tcPr>
          <w:p w14:paraId="76773414"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Disability Resources Centre – Vic</w:t>
            </w:r>
          </w:p>
        </w:tc>
        <w:tc>
          <w:tcPr>
            <w:tcW w:w="5107" w:type="dxa"/>
          </w:tcPr>
          <w:p w14:paraId="5615E0B2"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Down Syndrome Australia </w:t>
            </w:r>
          </w:p>
        </w:tc>
      </w:tr>
      <w:tr w:rsidR="005C7121" w:rsidRPr="005C7121" w14:paraId="3311CB6C" w14:textId="77777777" w:rsidTr="00C018ED">
        <w:tc>
          <w:tcPr>
            <w:tcW w:w="4811" w:type="dxa"/>
          </w:tcPr>
          <w:p w14:paraId="34542FE1"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Enhanced Lifestyles – SA</w:t>
            </w:r>
          </w:p>
        </w:tc>
        <w:tc>
          <w:tcPr>
            <w:tcW w:w="5107" w:type="dxa"/>
          </w:tcPr>
          <w:p w14:paraId="1CBDA93A"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Physical Disability Australia</w:t>
            </w:r>
          </w:p>
        </w:tc>
      </w:tr>
      <w:tr w:rsidR="005C7121" w:rsidRPr="005C7121" w14:paraId="3BD36067" w14:textId="77777777" w:rsidTr="00C018ED">
        <w:tc>
          <w:tcPr>
            <w:tcW w:w="4811" w:type="dxa"/>
          </w:tcPr>
          <w:p w14:paraId="4CB5AE4C"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People With Disabilities WA</w:t>
            </w:r>
          </w:p>
        </w:tc>
        <w:tc>
          <w:tcPr>
            <w:tcW w:w="5107" w:type="dxa"/>
          </w:tcPr>
          <w:p w14:paraId="70EC7F0F"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Polio Australia </w:t>
            </w:r>
          </w:p>
        </w:tc>
      </w:tr>
      <w:tr w:rsidR="005C7121" w:rsidRPr="005C7121" w14:paraId="555AA4AB" w14:textId="77777777" w:rsidTr="00C018ED">
        <w:tc>
          <w:tcPr>
            <w:tcW w:w="4811" w:type="dxa"/>
          </w:tcPr>
          <w:p w14:paraId="3726364C"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South West Autism Network – WA</w:t>
            </w:r>
          </w:p>
        </w:tc>
        <w:tc>
          <w:tcPr>
            <w:tcW w:w="5107" w:type="dxa"/>
          </w:tcPr>
          <w:p w14:paraId="4FFDC425"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Women With Disabilities ACT</w:t>
            </w:r>
          </w:p>
        </w:tc>
      </w:tr>
      <w:tr w:rsidR="005C7121" w:rsidRPr="005C7121" w14:paraId="745A18D3" w14:textId="77777777" w:rsidTr="00C018ED">
        <w:tc>
          <w:tcPr>
            <w:tcW w:w="4811" w:type="dxa"/>
          </w:tcPr>
          <w:p w14:paraId="116C1D2C"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Women with Disabilities Victoria </w:t>
            </w:r>
          </w:p>
        </w:tc>
        <w:tc>
          <w:tcPr>
            <w:tcW w:w="5107" w:type="dxa"/>
          </w:tcPr>
          <w:p w14:paraId="7BA7EDC8"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National Mental Health Consumer &amp; Carer Forum </w:t>
            </w:r>
          </w:p>
        </w:tc>
      </w:tr>
      <w:tr w:rsidR="005C7121" w:rsidRPr="005C7121" w14:paraId="34F377A0" w14:textId="77777777" w:rsidTr="00C018ED">
        <w:tc>
          <w:tcPr>
            <w:tcW w:w="4811" w:type="dxa"/>
          </w:tcPr>
          <w:p w14:paraId="3F774A91"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Advocacy WA</w:t>
            </w:r>
          </w:p>
        </w:tc>
        <w:tc>
          <w:tcPr>
            <w:tcW w:w="5107" w:type="dxa"/>
          </w:tcPr>
          <w:p w14:paraId="5E747683"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All Means All</w:t>
            </w:r>
          </w:p>
        </w:tc>
      </w:tr>
      <w:tr w:rsidR="005C7121" w:rsidRPr="005C7121" w14:paraId="0B982C78" w14:textId="77777777" w:rsidTr="00C018ED">
        <w:trPr>
          <w:trHeight w:val="321"/>
        </w:trPr>
        <w:tc>
          <w:tcPr>
            <w:tcW w:w="4811" w:type="dxa"/>
          </w:tcPr>
          <w:p w14:paraId="7B410E83"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AED Legal Centre – Vic</w:t>
            </w:r>
          </w:p>
        </w:tc>
        <w:tc>
          <w:tcPr>
            <w:tcW w:w="5107" w:type="dxa"/>
          </w:tcPr>
          <w:p w14:paraId="09D6AC2F"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AMAZE – Vic</w:t>
            </w:r>
          </w:p>
        </w:tc>
      </w:tr>
      <w:tr w:rsidR="005C7121" w:rsidRPr="005C7121" w14:paraId="7010A23B" w14:textId="77777777" w:rsidTr="00C018ED">
        <w:tc>
          <w:tcPr>
            <w:tcW w:w="4811" w:type="dxa"/>
          </w:tcPr>
          <w:p w14:paraId="67EE9D35"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Arts Access Victoria</w:t>
            </w:r>
          </w:p>
        </w:tc>
        <w:tc>
          <w:tcPr>
            <w:tcW w:w="5107" w:type="dxa"/>
          </w:tcPr>
          <w:p w14:paraId="4811DB23"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Aspergers Victoria</w:t>
            </w:r>
          </w:p>
        </w:tc>
      </w:tr>
      <w:tr w:rsidR="005C7121" w:rsidRPr="005C7121" w14:paraId="614A12D9" w14:textId="77777777" w:rsidTr="00C018ED">
        <w:tc>
          <w:tcPr>
            <w:tcW w:w="4811" w:type="dxa"/>
          </w:tcPr>
          <w:p w14:paraId="492CAD71"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Disability Advocacy &amp; Complaints Service - SA</w:t>
            </w:r>
          </w:p>
        </w:tc>
        <w:tc>
          <w:tcPr>
            <w:tcW w:w="5107" w:type="dxa"/>
          </w:tcPr>
          <w:p w14:paraId="52069334"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Explorability Inc – SA</w:t>
            </w:r>
          </w:p>
        </w:tc>
      </w:tr>
      <w:tr w:rsidR="005C7121" w:rsidRPr="005C7121" w14:paraId="3E3C5184" w14:textId="77777777" w:rsidTr="00C018ED">
        <w:tc>
          <w:tcPr>
            <w:tcW w:w="4811" w:type="dxa"/>
          </w:tcPr>
          <w:p w14:paraId="71C1EA51"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Multiple Sclerosis Australia</w:t>
            </w:r>
          </w:p>
        </w:tc>
        <w:tc>
          <w:tcPr>
            <w:tcW w:w="5107" w:type="dxa"/>
          </w:tcPr>
          <w:p w14:paraId="37471D50" w14:textId="77777777" w:rsidR="005C7121" w:rsidRPr="005C7121" w:rsidRDefault="005C7121" w:rsidP="005C7121">
            <w:pPr>
              <w:spacing w:before="0" w:after="0" w:line="240" w:lineRule="auto"/>
              <w:contextualSpacing/>
              <w:rPr>
                <w:rFonts w:cs="Arial"/>
                <w:kern w:val="24"/>
                <w:sz w:val="22"/>
                <w:szCs w:val="22"/>
              </w:rPr>
            </w:pPr>
            <w:r w:rsidRPr="005C7121">
              <w:rPr>
                <w:rFonts w:cs="Arial"/>
                <w:kern w:val="24"/>
                <w:sz w:val="22"/>
                <w:szCs w:val="22"/>
              </w:rPr>
              <w:t>Leadership Plus – Vic</w:t>
            </w:r>
          </w:p>
        </w:tc>
      </w:tr>
      <w:tr w:rsidR="005C7121" w:rsidRPr="005C7121" w14:paraId="59F30470" w14:textId="77777777" w:rsidTr="00C018ED">
        <w:tc>
          <w:tcPr>
            <w:tcW w:w="4811" w:type="dxa"/>
          </w:tcPr>
          <w:p w14:paraId="2B100B6C" w14:textId="77777777" w:rsidR="005C7121" w:rsidRPr="005C7121" w:rsidRDefault="005C7121" w:rsidP="005C7121">
            <w:pPr>
              <w:spacing w:before="0" w:after="120"/>
              <w:textAlignment w:val="baseline"/>
              <w:rPr>
                <w:rFonts w:eastAsia="Arial" w:cs="Arial"/>
                <w:sz w:val="22"/>
                <w:szCs w:val="22"/>
              </w:rPr>
            </w:pPr>
            <w:r w:rsidRPr="005C7121">
              <w:rPr>
                <w:rFonts w:eastAsia="Arial" w:cs="Arial"/>
                <w:sz w:val="22"/>
                <w:szCs w:val="22"/>
              </w:rPr>
              <w:t>National Union of Students - Disabilities Dept.</w:t>
            </w:r>
          </w:p>
        </w:tc>
        <w:tc>
          <w:tcPr>
            <w:tcW w:w="5107" w:type="dxa"/>
          </w:tcPr>
          <w:p w14:paraId="2192F93D" w14:textId="77777777" w:rsidR="005C7121" w:rsidRPr="005C7121" w:rsidRDefault="005C7121" w:rsidP="005C7121">
            <w:pPr>
              <w:spacing w:before="0" w:after="0" w:line="240" w:lineRule="auto"/>
              <w:contextualSpacing/>
              <w:rPr>
                <w:rFonts w:cs="Arial"/>
                <w:kern w:val="24"/>
                <w:sz w:val="22"/>
                <w:szCs w:val="22"/>
              </w:rPr>
            </w:pPr>
            <w:r w:rsidRPr="005C7121">
              <w:rPr>
                <w:rFonts w:cs="Arial"/>
                <w:kern w:val="24"/>
                <w:sz w:val="22"/>
                <w:szCs w:val="22"/>
              </w:rPr>
              <w:t>National Organisation for Fetal Alcohol Spectrum Disorder</w:t>
            </w:r>
          </w:p>
          <w:p w14:paraId="1E706C2F" w14:textId="77777777" w:rsidR="005C7121" w:rsidRPr="005C7121" w:rsidRDefault="005C7121" w:rsidP="005C7121">
            <w:pPr>
              <w:spacing w:before="0" w:after="0" w:line="240" w:lineRule="auto"/>
              <w:contextualSpacing/>
              <w:rPr>
                <w:rFonts w:cs="Arial"/>
                <w:kern w:val="24"/>
                <w:sz w:val="10"/>
                <w:szCs w:val="10"/>
              </w:rPr>
            </w:pPr>
          </w:p>
        </w:tc>
      </w:tr>
      <w:tr w:rsidR="005C7121" w:rsidRPr="005C7121" w14:paraId="0D90A386" w14:textId="77777777" w:rsidTr="00C018ED">
        <w:tc>
          <w:tcPr>
            <w:tcW w:w="4811" w:type="dxa"/>
          </w:tcPr>
          <w:p w14:paraId="5AFE33D2" w14:textId="77777777" w:rsidR="005C7121" w:rsidRPr="005C7121" w:rsidRDefault="005C7121" w:rsidP="005C7121">
            <w:pPr>
              <w:spacing w:before="0" w:after="0" w:line="240" w:lineRule="auto"/>
              <w:contextualSpacing/>
              <w:rPr>
                <w:rFonts w:cs="Arial"/>
                <w:kern w:val="24"/>
                <w:sz w:val="22"/>
                <w:szCs w:val="22"/>
              </w:rPr>
            </w:pPr>
            <w:r w:rsidRPr="005C7121">
              <w:rPr>
                <w:rFonts w:cs="Arial"/>
                <w:kern w:val="24"/>
                <w:sz w:val="22"/>
                <w:szCs w:val="22"/>
              </w:rPr>
              <w:t>TASC National Limited</w:t>
            </w:r>
          </w:p>
          <w:p w14:paraId="6516F825" w14:textId="77777777" w:rsidR="005C7121" w:rsidRPr="005C7121" w:rsidRDefault="005C7121" w:rsidP="005C7121">
            <w:pPr>
              <w:spacing w:before="0" w:after="0" w:line="240" w:lineRule="auto"/>
              <w:contextualSpacing/>
              <w:rPr>
                <w:rFonts w:cs="Arial"/>
                <w:kern w:val="24"/>
                <w:sz w:val="22"/>
                <w:szCs w:val="22"/>
              </w:rPr>
            </w:pPr>
          </w:p>
        </w:tc>
        <w:tc>
          <w:tcPr>
            <w:tcW w:w="5107" w:type="dxa"/>
          </w:tcPr>
          <w:p w14:paraId="3D3AA31F" w14:textId="77777777" w:rsidR="005C7121" w:rsidRPr="005C7121" w:rsidRDefault="005C7121" w:rsidP="005C7121">
            <w:pPr>
              <w:spacing w:before="0" w:after="0" w:line="240" w:lineRule="auto"/>
              <w:contextualSpacing/>
              <w:rPr>
                <w:rFonts w:cs="Arial"/>
                <w:kern w:val="24"/>
                <w:sz w:val="22"/>
                <w:szCs w:val="22"/>
              </w:rPr>
            </w:pPr>
            <w:r w:rsidRPr="005C7121">
              <w:rPr>
                <w:rFonts w:cs="Arial"/>
                <w:kern w:val="24"/>
                <w:sz w:val="22"/>
                <w:szCs w:val="22"/>
              </w:rPr>
              <w:t>Star Victoria Inc</w:t>
            </w:r>
          </w:p>
        </w:tc>
      </w:tr>
      <w:tr w:rsidR="005C7121" w:rsidRPr="005C7121" w14:paraId="45C567D3" w14:textId="77777777" w:rsidTr="00C018ED">
        <w:tc>
          <w:tcPr>
            <w:tcW w:w="4811" w:type="dxa"/>
          </w:tcPr>
          <w:p w14:paraId="00DDF532" w14:textId="77777777" w:rsidR="005C7121" w:rsidRPr="005C7121" w:rsidRDefault="005C7121" w:rsidP="005C7121">
            <w:pPr>
              <w:spacing w:before="0" w:after="120"/>
              <w:textAlignment w:val="baseline"/>
              <w:rPr>
                <w:rFonts w:eastAsia="Arial" w:cs="Arial"/>
                <w:sz w:val="22"/>
                <w:szCs w:val="22"/>
              </w:rPr>
            </w:pPr>
            <w:r w:rsidRPr="005C7121">
              <w:rPr>
                <w:rFonts w:eastAsia="Times New Roman" w:cs="Arial"/>
                <w:sz w:val="22"/>
                <w:szCs w:val="22"/>
              </w:rPr>
              <w:t>Youth Disability Advocacy Service - Vic</w:t>
            </w:r>
          </w:p>
        </w:tc>
        <w:tc>
          <w:tcPr>
            <w:tcW w:w="5107" w:type="dxa"/>
          </w:tcPr>
          <w:p w14:paraId="5E142467" w14:textId="77777777" w:rsidR="005C7121" w:rsidRPr="005C7121" w:rsidRDefault="005C7121" w:rsidP="005C7121">
            <w:pPr>
              <w:spacing w:before="0" w:after="120"/>
              <w:textAlignment w:val="baseline"/>
              <w:rPr>
                <w:rFonts w:eastAsia="Arial" w:cs="Arial"/>
                <w:sz w:val="22"/>
                <w:szCs w:val="22"/>
              </w:rPr>
            </w:pPr>
            <w:r w:rsidRPr="005C7121">
              <w:rPr>
                <w:rFonts w:eastAsia="Times New Roman" w:cs="Arial"/>
                <w:sz w:val="22"/>
                <w:szCs w:val="22"/>
              </w:rPr>
              <w:t>Tourettes Syndrome of Australia</w:t>
            </w:r>
          </w:p>
        </w:tc>
      </w:tr>
    </w:tbl>
    <w:p w14:paraId="412CD7E1" w14:textId="77777777" w:rsidR="005C7121" w:rsidRPr="005C7121" w:rsidRDefault="005C7121" w:rsidP="005C7121">
      <w:pPr>
        <w:spacing w:before="0" w:after="120"/>
        <w:textAlignment w:val="baseline"/>
        <w:rPr>
          <w:rFonts w:eastAsia="Arial" w:cs="Arial"/>
          <w:sz w:val="22"/>
          <w:szCs w:val="22"/>
          <w:lang w:eastAsia="en-AU"/>
        </w:rPr>
      </w:pPr>
    </w:p>
    <w:p w14:paraId="1647C688" w14:textId="77777777" w:rsidR="005C7121" w:rsidRPr="005C7121" w:rsidRDefault="005C7121" w:rsidP="005C7121"/>
    <w:p w14:paraId="11912ADC" w14:textId="77777777" w:rsidR="00D46F8C" w:rsidRDefault="00D46F8C" w:rsidP="00D46F8C">
      <w:pPr>
        <w:pStyle w:val="NoSpacing"/>
      </w:pPr>
    </w:p>
    <w:p w14:paraId="3CBE2880" w14:textId="17B3F205" w:rsidR="00BF200D" w:rsidRPr="00D46F8C" w:rsidRDefault="00BF200D" w:rsidP="00C9740C">
      <w:pPr>
        <w:pStyle w:val="NoSpacing"/>
        <w:keepNext/>
        <w:ind w:hanging="142"/>
        <w:jc w:val="center"/>
      </w:pPr>
    </w:p>
    <w:sectPr w:rsidR="00BF200D" w:rsidRPr="00D46F8C" w:rsidSect="00856938">
      <w:footerReference w:type="even" r:id="rId13"/>
      <w:footerReference w:type="default" r:id="rId14"/>
      <w:type w:val="continuous"/>
      <w:pgSz w:w="11900" w:h="16840"/>
      <w:pgMar w:top="1440" w:right="1797" w:bottom="426" w:left="1797" w:header="709"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60C5" w14:textId="77777777" w:rsidR="00856938" w:rsidRDefault="00856938" w:rsidP="009B49BA">
      <w:pPr>
        <w:spacing w:before="0" w:after="0" w:line="240" w:lineRule="auto"/>
      </w:pPr>
      <w:r>
        <w:separator/>
      </w:r>
    </w:p>
  </w:endnote>
  <w:endnote w:type="continuationSeparator" w:id="0">
    <w:p w14:paraId="28D40F5F" w14:textId="77777777" w:rsidR="00856938" w:rsidRDefault="00856938" w:rsidP="009B49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A1002AE7" w:usb1="C0000063" w:usb2="00000038"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E04D" w14:textId="0426BB01" w:rsidR="009B49BA" w:rsidRDefault="009B49BA" w:rsidP="00461F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5A4C1A">
      <w:rPr>
        <w:rStyle w:val="PageNumber"/>
      </w:rPr>
      <w:fldChar w:fldCharType="separate"/>
    </w:r>
    <w:r w:rsidR="005A4C1A">
      <w:rPr>
        <w:rStyle w:val="PageNumber"/>
        <w:noProof/>
      </w:rPr>
      <w:t>1</w:t>
    </w:r>
    <w:r>
      <w:rPr>
        <w:rStyle w:val="PageNumber"/>
      </w:rPr>
      <w:fldChar w:fldCharType="end"/>
    </w:r>
  </w:p>
  <w:p w14:paraId="2A63FBE9" w14:textId="77777777" w:rsidR="009B49BA" w:rsidRDefault="009B49BA" w:rsidP="009B4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075794"/>
      <w:docPartObj>
        <w:docPartGallery w:val="Page Numbers (Bottom of Page)"/>
        <w:docPartUnique/>
      </w:docPartObj>
    </w:sdtPr>
    <w:sdtEndPr>
      <w:rPr>
        <w:noProof/>
      </w:rPr>
    </w:sdtEndPr>
    <w:sdtContent>
      <w:p w14:paraId="6390C454" w14:textId="587A1C0D" w:rsidR="001424D9" w:rsidRDefault="00142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8B613A" w14:textId="77777777" w:rsidR="009B49BA" w:rsidRDefault="009B49BA" w:rsidP="009B49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9B41" w14:textId="77777777" w:rsidR="00856938" w:rsidRDefault="00856938" w:rsidP="009B49BA">
      <w:pPr>
        <w:spacing w:before="0" w:after="0" w:line="240" w:lineRule="auto"/>
      </w:pPr>
      <w:r>
        <w:separator/>
      </w:r>
    </w:p>
  </w:footnote>
  <w:footnote w:type="continuationSeparator" w:id="0">
    <w:p w14:paraId="245AEA47" w14:textId="77777777" w:rsidR="00856938" w:rsidRDefault="00856938" w:rsidP="009B49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08CD"/>
    <w:multiLevelType w:val="hybridMultilevel"/>
    <w:tmpl w:val="B42ECD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3154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AyNjQ1MDUyMDAyMbJQ0lEKTi0uzszPAykwMqgFAGatvLstAAAA"/>
  </w:docVars>
  <w:rsids>
    <w:rsidRoot w:val="0084215C"/>
    <w:rsid w:val="000040FB"/>
    <w:rsid w:val="0002617E"/>
    <w:rsid w:val="00052E96"/>
    <w:rsid w:val="00062C7A"/>
    <w:rsid w:val="000A7758"/>
    <w:rsid w:val="001078FA"/>
    <w:rsid w:val="00112A62"/>
    <w:rsid w:val="001224A2"/>
    <w:rsid w:val="001424D9"/>
    <w:rsid w:val="0014301A"/>
    <w:rsid w:val="00170935"/>
    <w:rsid w:val="00176671"/>
    <w:rsid w:val="0017752D"/>
    <w:rsid w:val="00183DB4"/>
    <w:rsid w:val="001864D1"/>
    <w:rsid w:val="001C6310"/>
    <w:rsid w:val="001D09CE"/>
    <w:rsid w:val="001E0651"/>
    <w:rsid w:val="001F0E3C"/>
    <w:rsid w:val="001F44A2"/>
    <w:rsid w:val="001F68A9"/>
    <w:rsid w:val="00215B96"/>
    <w:rsid w:val="002246CB"/>
    <w:rsid w:val="00267239"/>
    <w:rsid w:val="00272D97"/>
    <w:rsid w:val="002937BB"/>
    <w:rsid w:val="002A008C"/>
    <w:rsid w:val="002B2344"/>
    <w:rsid w:val="002D0660"/>
    <w:rsid w:val="00314033"/>
    <w:rsid w:val="003221C0"/>
    <w:rsid w:val="00325E41"/>
    <w:rsid w:val="00380227"/>
    <w:rsid w:val="00382364"/>
    <w:rsid w:val="003B4A48"/>
    <w:rsid w:val="003B6AA2"/>
    <w:rsid w:val="003D191B"/>
    <w:rsid w:val="00400EF5"/>
    <w:rsid w:val="004159AB"/>
    <w:rsid w:val="004312B3"/>
    <w:rsid w:val="0043157E"/>
    <w:rsid w:val="00442DBC"/>
    <w:rsid w:val="0046604B"/>
    <w:rsid w:val="00471C8E"/>
    <w:rsid w:val="0049303B"/>
    <w:rsid w:val="004966E6"/>
    <w:rsid w:val="004A3FD5"/>
    <w:rsid w:val="004A4B6B"/>
    <w:rsid w:val="004B5B46"/>
    <w:rsid w:val="004C2BBC"/>
    <w:rsid w:val="004C334D"/>
    <w:rsid w:val="00504501"/>
    <w:rsid w:val="00510EEA"/>
    <w:rsid w:val="00535331"/>
    <w:rsid w:val="00540514"/>
    <w:rsid w:val="005558D6"/>
    <w:rsid w:val="005812AC"/>
    <w:rsid w:val="00594435"/>
    <w:rsid w:val="005A4C1A"/>
    <w:rsid w:val="005A5E65"/>
    <w:rsid w:val="005B24D5"/>
    <w:rsid w:val="005B44A2"/>
    <w:rsid w:val="005B5FDA"/>
    <w:rsid w:val="005C50FE"/>
    <w:rsid w:val="005C7121"/>
    <w:rsid w:val="00631140"/>
    <w:rsid w:val="00634A81"/>
    <w:rsid w:val="00642B88"/>
    <w:rsid w:val="0066459B"/>
    <w:rsid w:val="006670EA"/>
    <w:rsid w:val="00682514"/>
    <w:rsid w:val="006D0240"/>
    <w:rsid w:val="006D6456"/>
    <w:rsid w:val="0070525E"/>
    <w:rsid w:val="00716BE0"/>
    <w:rsid w:val="0079703B"/>
    <w:rsid w:val="007A0038"/>
    <w:rsid w:val="007E6056"/>
    <w:rsid w:val="007E6725"/>
    <w:rsid w:val="007F2966"/>
    <w:rsid w:val="0080134E"/>
    <w:rsid w:val="00810ECD"/>
    <w:rsid w:val="00812EE6"/>
    <w:rsid w:val="0084215C"/>
    <w:rsid w:val="0084482F"/>
    <w:rsid w:val="008457A5"/>
    <w:rsid w:val="00856938"/>
    <w:rsid w:val="00872C52"/>
    <w:rsid w:val="008A6ED4"/>
    <w:rsid w:val="00905DE5"/>
    <w:rsid w:val="009100AD"/>
    <w:rsid w:val="00922F9E"/>
    <w:rsid w:val="009230F9"/>
    <w:rsid w:val="009409CA"/>
    <w:rsid w:val="009414B1"/>
    <w:rsid w:val="009557A7"/>
    <w:rsid w:val="00956969"/>
    <w:rsid w:val="009734C0"/>
    <w:rsid w:val="0099227F"/>
    <w:rsid w:val="0099494C"/>
    <w:rsid w:val="009A61CA"/>
    <w:rsid w:val="009B49BA"/>
    <w:rsid w:val="009F4C04"/>
    <w:rsid w:val="00A00533"/>
    <w:rsid w:val="00A45234"/>
    <w:rsid w:val="00A5360F"/>
    <w:rsid w:val="00A9250A"/>
    <w:rsid w:val="00AE41EC"/>
    <w:rsid w:val="00B00A75"/>
    <w:rsid w:val="00B07206"/>
    <w:rsid w:val="00B40E11"/>
    <w:rsid w:val="00B56F25"/>
    <w:rsid w:val="00B65FDD"/>
    <w:rsid w:val="00B76BA5"/>
    <w:rsid w:val="00B9688C"/>
    <w:rsid w:val="00BA2FDE"/>
    <w:rsid w:val="00BC17D4"/>
    <w:rsid w:val="00BC5DD7"/>
    <w:rsid w:val="00BF200D"/>
    <w:rsid w:val="00BF24A6"/>
    <w:rsid w:val="00BF6217"/>
    <w:rsid w:val="00C10BCD"/>
    <w:rsid w:val="00C2031B"/>
    <w:rsid w:val="00C2058C"/>
    <w:rsid w:val="00C41809"/>
    <w:rsid w:val="00C4340D"/>
    <w:rsid w:val="00C43521"/>
    <w:rsid w:val="00C632E8"/>
    <w:rsid w:val="00C9740C"/>
    <w:rsid w:val="00CB06D5"/>
    <w:rsid w:val="00CB3B17"/>
    <w:rsid w:val="00CC7E0F"/>
    <w:rsid w:val="00CE1B16"/>
    <w:rsid w:val="00CF5654"/>
    <w:rsid w:val="00D04246"/>
    <w:rsid w:val="00D202DB"/>
    <w:rsid w:val="00D40842"/>
    <w:rsid w:val="00D46F8C"/>
    <w:rsid w:val="00D51C5E"/>
    <w:rsid w:val="00D603C1"/>
    <w:rsid w:val="00D74723"/>
    <w:rsid w:val="00DA19E0"/>
    <w:rsid w:val="00DD237C"/>
    <w:rsid w:val="00DD7047"/>
    <w:rsid w:val="00DE3727"/>
    <w:rsid w:val="00E02F0B"/>
    <w:rsid w:val="00E26AC7"/>
    <w:rsid w:val="00E558FC"/>
    <w:rsid w:val="00E704D2"/>
    <w:rsid w:val="00E71BC7"/>
    <w:rsid w:val="00E842D1"/>
    <w:rsid w:val="00ED4BBC"/>
    <w:rsid w:val="00EF41B1"/>
    <w:rsid w:val="00F111DF"/>
    <w:rsid w:val="00F113D0"/>
    <w:rsid w:val="00F20272"/>
    <w:rsid w:val="00F47AE5"/>
    <w:rsid w:val="00F67A19"/>
    <w:rsid w:val="00F826B5"/>
    <w:rsid w:val="00FB26FE"/>
    <w:rsid w:val="00FC4C3B"/>
    <w:rsid w:val="00FD24E2"/>
    <w:rsid w:val="00FD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0767f"/>
    </o:shapedefaults>
    <o:shapelayout v:ext="edit">
      <o:idmap v:ext="edit" data="1"/>
    </o:shapelayout>
  </w:shapeDefaults>
  <w:decimalSymbol w:val="."/>
  <w:listSeparator w:val=","/>
  <w14:docId w14:val="3A2D3885"/>
  <w15:docId w15:val="{9155BABB-6206-4F10-B0BD-760B1788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D6"/>
    <w:pPr>
      <w:spacing w:before="240" w:after="240" w:line="276" w:lineRule="auto"/>
    </w:pPr>
    <w:rPr>
      <w:rFonts w:ascii="Arial" w:hAnsi="Arial"/>
    </w:rPr>
  </w:style>
  <w:style w:type="paragraph" w:styleId="Heading1">
    <w:name w:val="heading 1"/>
    <w:basedOn w:val="Normal"/>
    <w:next w:val="Normal"/>
    <w:link w:val="Heading1Char"/>
    <w:uiPriority w:val="9"/>
    <w:qFormat/>
    <w:rsid w:val="00F20272"/>
    <w:pPr>
      <w:keepNext/>
      <w:keepLines/>
      <w:spacing w:before="480" w:after="0"/>
      <w:outlineLvl w:val="0"/>
    </w:pPr>
    <w:rPr>
      <w:rFonts w:eastAsiaTheme="majorEastAsia" w:cstheme="majorBidi"/>
      <w:b/>
      <w:bCs/>
      <w:color w:val="00767F"/>
      <w:sz w:val="32"/>
      <w:szCs w:val="32"/>
    </w:rPr>
  </w:style>
  <w:style w:type="paragraph" w:styleId="Heading2">
    <w:name w:val="heading 2"/>
    <w:basedOn w:val="Normal"/>
    <w:next w:val="Normal"/>
    <w:link w:val="Heading2Char"/>
    <w:uiPriority w:val="9"/>
    <w:semiHidden/>
    <w:unhideWhenUsed/>
    <w:qFormat/>
    <w:rsid w:val="00E26A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072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4215C"/>
    <w:rPr>
      <w:rFonts w:ascii="Arial" w:hAnsi="Arial"/>
      <w:b w:val="0"/>
      <w:bCs w:val="0"/>
      <w:i w:val="0"/>
      <w:iCs w:val="0"/>
      <w:color w:val="00767F"/>
      <w:u w:val="single"/>
    </w:rPr>
  </w:style>
  <w:style w:type="character" w:styleId="IntenseEmphasis">
    <w:name w:val="Intense Emphasis"/>
    <w:basedOn w:val="DefaultParagraphFont"/>
    <w:uiPriority w:val="21"/>
    <w:qFormat/>
    <w:rsid w:val="0043157E"/>
    <w:rPr>
      <w:b/>
      <w:bCs/>
      <w:i/>
      <w:iCs/>
      <w:color w:val="4F81BD" w:themeColor="accent1"/>
    </w:rPr>
  </w:style>
  <w:style w:type="paragraph" w:styleId="IntenseQuote">
    <w:name w:val="Intense Quote"/>
    <w:basedOn w:val="Normal"/>
    <w:next w:val="Normal"/>
    <w:link w:val="IntenseQuoteChar"/>
    <w:uiPriority w:val="30"/>
    <w:qFormat/>
    <w:rsid w:val="005558D6"/>
    <w:pPr>
      <w:spacing w:before="200" w:after="280"/>
      <w:ind w:left="936" w:right="936"/>
    </w:pPr>
    <w:rPr>
      <w:i/>
      <w:iCs/>
      <w:color w:val="000000" w:themeColor="text1"/>
    </w:rPr>
  </w:style>
  <w:style w:type="character" w:customStyle="1" w:styleId="IntenseQuoteChar">
    <w:name w:val="Intense Quote Char"/>
    <w:basedOn w:val="DefaultParagraphFont"/>
    <w:link w:val="IntenseQuote"/>
    <w:uiPriority w:val="30"/>
    <w:rsid w:val="005558D6"/>
    <w:rPr>
      <w:rFonts w:ascii="Arial" w:hAnsi="Arial"/>
      <w:i/>
      <w:iCs/>
      <w:color w:val="000000" w:themeColor="text1"/>
    </w:rPr>
  </w:style>
  <w:style w:type="character" w:customStyle="1" w:styleId="Heading1Char">
    <w:name w:val="Heading 1 Char"/>
    <w:basedOn w:val="DefaultParagraphFont"/>
    <w:link w:val="Heading1"/>
    <w:uiPriority w:val="9"/>
    <w:rsid w:val="00F20272"/>
    <w:rPr>
      <w:rFonts w:ascii="Arial" w:eastAsiaTheme="majorEastAsia" w:hAnsi="Arial" w:cstheme="majorBidi"/>
      <w:b/>
      <w:bCs/>
      <w:color w:val="00767F"/>
      <w:sz w:val="32"/>
      <w:szCs w:val="32"/>
    </w:rPr>
  </w:style>
  <w:style w:type="paragraph" w:styleId="Header">
    <w:name w:val="header"/>
    <w:basedOn w:val="Normal"/>
    <w:link w:val="HeaderChar"/>
    <w:uiPriority w:val="99"/>
    <w:unhideWhenUsed/>
    <w:qFormat/>
    <w:rsid w:val="002B2344"/>
    <w:pPr>
      <w:tabs>
        <w:tab w:val="center" w:pos="4320"/>
        <w:tab w:val="right" w:pos="8640"/>
      </w:tabs>
      <w:spacing w:before="120" w:after="120" w:line="240" w:lineRule="auto"/>
      <w:contextualSpacing/>
    </w:pPr>
  </w:style>
  <w:style w:type="character" w:customStyle="1" w:styleId="HeaderChar">
    <w:name w:val="Header Char"/>
    <w:basedOn w:val="DefaultParagraphFont"/>
    <w:link w:val="Header"/>
    <w:uiPriority w:val="99"/>
    <w:rsid w:val="002B2344"/>
    <w:rPr>
      <w:rFonts w:ascii="Arial" w:hAnsi="Arial"/>
    </w:rPr>
  </w:style>
  <w:style w:type="paragraph" w:styleId="Date">
    <w:name w:val="Date"/>
    <w:basedOn w:val="Normal"/>
    <w:next w:val="Normal"/>
    <w:link w:val="DateChar"/>
    <w:uiPriority w:val="99"/>
    <w:unhideWhenUsed/>
    <w:qFormat/>
    <w:rsid w:val="005558D6"/>
    <w:pPr>
      <w:spacing w:before="120" w:after="120"/>
      <w:contextualSpacing/>
      <w:jc w:val="right"/>
    </w:pPr>
  </w:style>
  <w:style w:type="character" w:customStyle="1" w:styleId="DateChar">
    <w:name w:val="Date Char"/>
    <w:basedOn w:val="DefaultParagraphFont"/>
    <w:link w:val="Date"/>
    <w:uiPriority w:val="99"/>
    <w:rsid w:val="005558D6"/>
    <w:rPr>
      <w:rFonts w:ascii="Arial" w:hAnsi="Arial"/>
    </w:rPr>
  </w:style>
  <w:style w:type="paragraph" w:styleId="Quote">
    <w:name w:val="Quote"/>
    <w:basedOn w:val="Normal"/>
    <w:next w:val="Normal"/>
    <w:link w:val="QuoteChar"/>
    <w:uiPriority w:val="29"/>
    <w:qFormat/>
    <w:rsid w:val="005558D6"/>
    <w:rPr>
      <w:i/>
      <w:iCs/>
      <w:color w:val="000000" w:themeColor="text1"/>
    </w:rPr>
  </w:style>
  <w:style w:type="character" w:customStyle="1" w:styleId="QuoteChar">
    <w:name w:val="Quote Char"/>
    <w:basedOn w:val="DefaultParagraphFont"/>
    <w:link w:val="Quote"/>
    <w:uiPriority w:val="29"/>
    <w:rsid w:val="005558D6"/>
    <w:rPr>
      <w:rFonts w:ascii="Arial" w:hAnsi="Arial"/>
      <w:i/>
      <w:iCs/>
      <w:color w:val="000000" w:themeColor="text1"/>
    </w:rPr>
  </w:style>
  <w:style w:type="paragraph" w:customStyle="1" w:styleId="Headerhyperlink">
    <w:name w:val="Header hyperlink"/>
    <w:basedOn w:val="Header"/>
    <w:qFormat/>
    <w:rsid w:val="002B2344"/>
    <w:pPr>
      <w:spacing w:before="240" w:after="240"/>
      <w:jc w:val="right"/>
    </w:pPr>
    <w:rPr>
      <w:color w:val="00767F"/>
      <w:u w:val="single"/>
    </w:rPr>
  </w:style>
  <w:style w:type="paragraph" w:styleId="NoSpacing">
    <w:name w:val="No Spacing"/>
    <w:aliases w:val="Name number"/>
    <w:uiPriority w:val="1"/>
    <w:qFormat/>
    <w:rsid w:val="005558D6"/>
    <w:rPr>
      <w:rFonts w:ascii="Arial" w:hAnsi="Arial"/>
    </w:rPr>
  </w:style>
  <w:style w:type="paragraph" w:customStyle="1" w:styleId="Mediarelease">
    <w:name w:val="Media release"/>
    <w:basedOn w:val="NoSpacing"/>
    <w:next w:val="Heading1"/>
    <w:qFormat/>
    <w:rsid w:val="0084482F"/>
    <w:rPr>
      <w:b/>
      <w:color w:val="000000" w:themeColor="text1"/>
    </w:rPr>
  </w:style>
  <w:style w:type="character" w:styleId="SubtleReference">
    <w:name w:val="Subtle Reference"/>
    <w:basedOn w:val="DefaultParagraphFont"/>
    <w:uiPriority w:val="31"/>
    <w:qFormat/>
    <w:rsid w:val="0084482F"/>
    <w:rPr>
      <w:smallCaps/>
      <w:color w:val="C0504D" w:themeColor="accent2"/>
      <w:u w:val="single"/>
    </w:rPr>
  </w:style>
  <w:style w:type="paragraph" w:styleId="BalloonText">
    <w:name w:val="Balloon Text"/>
    <w:basedOn w:val="Normal"/>
    <w:link w:val="BalloonTextChar"/>
    <w:uiPriority w:val="99"/>
    <w:semiHidden/>
    <w:unhideWhenUsed/>
    <w:rsid w:val="00FC4C3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C3B"/>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E26AC7"/>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9B49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49BA"/>
    <w:rPr>
      <w:rFonts w:ascii="Arial" w:hAnsi="Arial"/>
    </w:rPr>
  </w:style>
  <w:style w:type="character" w:styleId="PageNumber">
    <w:name w:val="page number"/>
    <w:basedOn w:val="DefaultParagraphFont"/>
    <w:uiPriority w:val="99"/>
    <w:semiHidden/>
    <w:unhideWhenUsed/>
    <w:rsid w:val="009B49BA"/>
  </w:style>
  <w:style w:type="paragraph" w:styleId="Caption">
    <w:name w:val="caption"/>
    <w:basedOn w:val="Normal"/>
    <w:next w:val="Normal"/>
    <w:uiPriority w:val="35"/>
    <w:unhideWhenUsed/>
    <w:qFormat/>
    <w:rsid w:val="00BF200D"/>
    <w:pPr>
      <w:spacing w:before="0" w:after="200" w:line="240" w:lineRule="auto"/>
    </w:pPr>
    <w:rPr>
      <w:b/>
      <w:bCs/>
      <w:color w:val="4F81BD" w:themeColor="accent1"/>
      <w:sz w:val="18"/>
      <w:szCs w:val="18"/>
    </w:rPr>
  </w:style>
  <w:style w:type="character" w:customStyle="1" w:styleId="Heading4Char">
    <w:name w:val="Heading 4 Char"/>
    <w:basedOn w:val="DefaultParagraphFont"/>
    <w:link w:val="Heading4"/>
    <w:uiPriority w:val="9"/>
    <w:semiHidden/>
    <w:rsid w:val="00B07206"/>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5C7121"/>
    <w:rPr>
      <w:rFonts w:ascii="Cambria" w:eastAsia="Cambria" w:hAnsi="Cambria"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do.org.au/members-2/memb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11" ma:contentTypeDescription="Create a new document." ma:contentTypeScope="" ma:versionID="32907c809b6f8890df15e7cc7647bbda">
  <xsd:schema xmlns:xsd="http://www.w3.org/2001/XMLSchema" xmlns:xs="http://www.w3.org/2001/XMLSchema" xmlns:p="http://schemas.microsoft.com/office/2006/metadata/properties" xmlns:ns2="d928bd7b-031c-4455-8a79-7f373819dc6b" xmlns:ns3="ab55b9db-84fd-464a-b47c-8dbec3bb94bb" targetNamespace="http://schemas.microsoft.com/office/2006/metadata/properties" ma:root="true" ma:fieldsID="f5490f1e621c8098999df2a9080afb39" ns2:_="" ns3:_="">
    <xsd:import namespace="d928bd7b-031c-4455-8a79-7f373819dc6b"/>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477F-7D3D-4D9F-B103-7A49DB676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A773B4-2FCD-48FB-8F50-653847692B5A}">
  <ds:schemaRefs>
    <ds:schemaRef ds:uri="http://schemas.microsoft.com/sharepoint/v3/contenttype/forms"/>
  </ds:schemaRefs>
</ds:datastoreItem>
</file>

<file path=customXml/itemProps3.xml><?xml version="1.0" encoding="utf-8"?>
<ds:datastoreItem xmlns:ds="http://schemas.openxmlformats.org/officeDocument/2006/customXml" ds:itemID="{49549029-8C46-4E98-AFBC-46303D4B5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56D50-825A-46F6-8D94-1E81E5FA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Federation of Disability Organisations (AFDO)</Company>
  <LinksUpToDate>false</LinksUpToDate>
  <CharactersWithSpaces>6078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 (AFDO)</dc:creator>
  <cp:lastModifiedBy>Ross Joyce</cp:lastModifiedBy>
  <cp:revision>18</cp:revision>
  <dcterms:created xsi:type="dcterms:W3CDTF">2024-05-15T04:03:00Z</dcterms:created>
  <dcterms:modified xsi:type="dcterms:W3CDTF">2024-05-15T04:32:00Z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y fmtid="{D5CDD505-2E9C-101B-9397-08002B2CF9AE}" pid="3" name="Order">
    <vt:r8>54600</vt:r8>
  </property>
</Properties>
</file>