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22CF8" w14:textId="5CDD1624" w:rsidR="007B142B" w:rsidRPr="007B142B" w:rsidRDefault="007B142B" w:rsidP="007B142B">
      <w:pPr>
        <w:jc w:val="center"/>
        <w:rPr>
          <w:rFonts w:asciiTheme="minorHAnsi" w:eastAsia="Times New Roman" w:hAnsiTheme="minorHAnsi" w:cstheme="minorHAnsi"/>
          <w:b/>
          <w:bCs/>
          <w:kern w:val="28"/>
          <w:lang w:val="en-AU"/>
        </w:rPr>
      </w:pPr>
      <w:bookmarkStart w:id="0" w:name="_Toc525849192"/>
      <w:bookmarkStart w:id="1" w:name="_Toc254011"/>
      <w:bookmarkStart w:id="2" w:name="_Toc2206648"/>
      <w:r>
        <w:rPr>
          <w:noProof/>
        </w:rPr>
        <w:drawing>
          <wp:inline distT="0" distB="0" distL="0" distR="0" wp14:anchorId="6136078A" wp14:editId="2E696003">
            <wp:extent cx="5124448" cy="1682791"/>
            <wp:effectExtent l="0" t="0" r="0" b="0"/>
            <wp:docPr id="1" name="Picture 1" descr="Logo of the Australian Federation of Disability Organisations (AF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124448" cy="1682791"/>
                    </a:xfrm>
                    <a:prstGeom prst="rect">
                      <a:avLst/>
                    </a:prstGeom>
                  </pic:spPr>
                </pic:pic>
              </a:graphicData>
            </a:graphic>
          </wp:inline>
        </w:drawing>
      </w:r>
    </w:p>
    <w:p w14:paraId="6EB3F2E5" w14:textId="77777777" w:rsidR="007B142B" w:rsidRPr="00220108" w:rsidRDefault="007B142B" w:rsidP="007B142B">
      <w:pPr>
        <w:jc w:val="center"/>
        <w:rPr>
          <w:rFonts w:eastAsia="Times New Roman" w:cs="Arial"/>
          <w:b/>
          <w:bCs/>
          <w:kern w:val="28"/>
          <w:lang w:val="en-AU"/>
        </w:rPr>
      </w:pPr>
    </w:p>
    <w:p w14:paraId="401E7E46" w14:textId="77777777" w:rsidR="007B142B" w:rsidRPr="00220108" w:rsidRDefault="007B142B" w:rsidP="007B142B">
      <w:pPr>
        <w:jc w:val="center"/>
        <w:rPr>
          <w:rFonts w:eastAsia="Times New Roman" w:cs="Arial"/>
          <w:b/>
          <w:bCs/>
          <w:kern w:val="28"/>
          <w:lang w:val="en-AU"/>
        </w:rPr>
      </w:pPr>
    </w:p>
    <w:p w14:paraId="087A1C01" w14:textId="76FF86C0" w:rsidR="007B142B" w:rsidRPr="001F00C2" w:rsidRDefault="00F21EA4" w:rsidP="007B142B">
      <w:pPr>
        <w:pStyle w:val="Heading1"/>
        <w:jc w:val="center"/>
        <w:rPr>
          <w:rStyle w:val="Heading2Char"/>
          <w:rFonts w:eastAsia="Arial" w:cs="Arial"/>
          <w:color w:val="008080"/>
          <w:sz w:val="56"/>
          <w:szCs w:val="56"/>
        </w:rPr>
      </w:pPr>
      <w:r w:rsidRPr="00F21EA4">
        <w:rPr>
          <w:rFonts w:eastAsia="Arial" w:cs="Arial"/>
          <w:color w:val="008080"/>
          <w:sz w:val="56"/>
          <w:szCs w:val="56"/>
          <w:lang w:val="en-AU"/>
        </w:rPr>
        <w:t>Australia’s draft National Autism Strategy</w:t>
      </w:r>
      <w:r w:rsidR="007B142B" w:rsidRPr="001F00C2">
        <w:rPr>
          <w:rStyle w:val="Heading2Char"/>
          <w:rFonts w:cs="Arial"/>
          <w:color w:val="008080"/>
          <w:sz w:val="56"/>
          <w:szCs w:val="56"/>
        </w:rPr>
        <w:br/>
      </w:r>
      <w:bookmarkStart w:id="3" w:name="_Toc142381256"/>
    </w:p>
    <w:bookmarkEnd w:id="3"/>
    <w:p w14:paraId="77E3EF8B" w14:textId="528B91D7" w:rsidR="007B142B" w:rsidRPr="001F00C2" w:rsidRDefault="00CB7B73" w:rsidP="007B142B">
      <w:pPr>
        <w:spacing w:after="0"/>
        <w:jc w:val="center"/>
        <w:rPr>
          <w:rFonts w:eastAsia="Arial" w:cs="Arial"/>
          <w:b/>
          <w:bCs/>
          <w:sz w:val="36"/>
          <w:szCs w:val="36"/>
          <w:lang w:val="en"/>
        </w:rPr>
      </w:pPr>
      <w:r w:rsidRPr="001F00C2">
        <w:rPr>
          <w:rStyle w:val="Heading2Char"/>
          <w:rFonts w:eastAsia="Arial" w:cs="Arial"/>
          <w:color w:val="auto"/>
          <w:kern w:val="32"/>
          <w:sz w:val="36"/>
          <w:szCs w:val="36"/>
        </w:rPr>
        <w:t xml:space="preserve">Submission to the </w:t>
      </w:r>
      <w:r w:rsidR="008A3175" w:rsidRPr="008A3175">
        <w:rPr>
          <w:rStyle w:val="Heading2Char"/>
          <w:rFonts w:eastAsia="Arial" w:cs="Arial"/>
          <w:color w:val="auto"/>
          <w:kern w:val="32"/>
          <w:sz w:val="36"/>
          <w:szCs w:val="36"/>
        </w:rPr>
        <w:t>Commonwealth Department of Social Services</w:t>
      </w:r>
    </w:p>
    <w:p w14:paraId="0DBDECCE" w14:textId="77777777" w:rsidR="007B142B" w:rsidRPr="00220108" w:rsidRDefault="007B142B" w:rsidP="007B142B">
      <w:pPr>
        <w:spacing w:after="0"/>
        <w:jc w:val="center"/>
        <w:rPr>
          <w:rFonts w:eastAsia="Arial" w:cs="Arial"/>
          <w:b/>
          <w:bCs/>
          <w:lang w:val="en"/>
        </w:rPr>
      </w:pPr>
    </w:p>
    <w:p w14:paraId="05DC5148" w14:textId="77777777" w:rsidR="007B142B" w:rsidRDefault="007B142B" w:rsidP="007B142B">
      <w:pPr>
        <w:spacing w:after="0"/>
        <w:jc w:val="center"/>
        <w:rPr>
          <w:rFonts w:eastAsia="Arial" w:cs="Arial"/>
          <w:b/>
          <w:bCs/>
          <w:lang w:val="en"/>
        </w:rPr>
      </w:pPr>
    </w:p>
    <w:p w14:paraId="3969900F" w14:textId="77777777" w:rsidR="001F00C2" w:rsidRDefault="001F00C2" w:rsidP="007B142B">
      <w:pPr>
        <w:spacing w:after="0"/>
        <w:jc w:val="center"/>
        <w:rPr>
          <w:rFonts w:eastAsia="Arial" w:cs="Arial"/>
          <w:b/>
          <w:bCs/>
          <w:lang w:val="en"/>
        </w:rPr>
      </w:pPr>
    </w:p>
    <w:p w14:paraId="4CD394A9" w14:textId="77777777" w:rsidR="001F00C2" w:rsidRDefault="001F00C2" w:rsidP="008A3175">
      <w:pPr>
        <w:spacing w:after="0"/>
        <w:rPr>
          <w:rFonts w:eastAsia="Arial" w:cs="Arial"/>
          <w:b/>
          <w:bCs/>
          <w:lang w:val="en"/>
        </w:rPr>
      </w:pPr>
    </w:p>
    <w:p w14:paraId="69CA3F8C" w14:textId="77777777" w:rsidR="00220108" w:rsidRPr="00220108" w:rsidRDefault="00220108" w:rsidP="007B142B">
      <w:pPr>
        <w:spacing w:after="0"/>
        <w:jc w:val="center"/>
        <w:rPr>
          <w:rFonts w:eastAsia="Arial" w:cs="Arial"/>
          <w:b/>
          <w:bCs/>
          <w:lang w:val="en"/>
        </w:rPr>
      </w:pPr>
    </w:p>
    <w:p w14:paraId="3BFB5BE4" w14:textId="539D6BA5" w:rsidR="007B142B" w:rsidRPr="00220108" w:rsidRDefault="00FA23A0" w:rsidP="00AB7085">
      <w:pPr>
        <w:pStyle w:val="paragraph"/>
        <w:spacing w:before="0" w:beforeAutospacing="0" w:after="0" w:afterAutospacing="0"/>
        <w:jc w:val="center"/>
        <w:textAlignment w:val="baseline"/>
        <w:rPr>
          <w:rFonts w:ascii="Arial" w:eastAsia="Arial" w:hAnsi="Arial" w:cs="Arial"/>
          <w:b/>
          <w:bCs/>
          <w:lang w:val="en"/>
        </w:rPr>
      </w:pPr>
      <w:r w:rsidRPr="00220108">
        <w:rPr>
          <w:rFonts w:ascii="Arial" w:eastAsia="Arial" w:hAnsi="Arial" w:cs="Arial"/>
          <w:b/>
          <w:bCs/>
          <w:lang w:val="en"/>
        </w:rPr>
        <w:t xml:space="preserve"> </w:t>
      </w:r>
      <w:r w:rsidR="00BA711E">
        <w:rPr>
          <w:rFonts w:ascii="Arial" w:eastAsia="Arial" w:hAnsi="Arial" w:cs="Arial"/>
          <w:b/>
          <w:bCs/>
          <w:lang w:val="en"/>
        </w:rPr>
        <w:t>14</w:t>
      </w:r>
      <w:r w:rsidR="008A3175">
        <w:rPr>
          <w:rFonts w:ascii="Arial" w:eastAsia="Arial" w:hAnsi="Arial" w:cs="Arial"/>
          <w:b/>
          <w:bCs/>
          <w:lang w:val="en"/>
        </w:rPr>
        <w:t xml:space="preserve"> June 2024</w:t>
      </w:r>
    </w:p>
    <w:p w14:paraId="77E50657" w14:textId="66E12F0A" w:rsidR="00AB7085" w:rsidRDefault="00AB7085" w:rsidP="00AB7085">
      <w:pPr>
        <w:pStyle w:val="paragraph"/>
        <w:spacing w:before="0" w:beforeAutospacing="0" w:after="0" w:afterAutospacing="0"/>
        <w:jc w:val="center"/>
        <w:textAlignment w:val="baseline"/>
        <w:rPr>
          <w:rFonts w:ascii="Arial" w:eastAsia="Arial" w:hAnsi="Arial" w:cs="Arial"/>
          <w:b/>
          <w:bCs/>
          <w:lang w:val="en"/>
        </w:rPr>
      </w:pPr>
    </w:p>
    <w:p w14:paraId="7AFCB14E" w14:textId="77777777" w:rsidR="0081028E" w:rsidRPr="00220108" w:rsidRDefault="0081028E" w:rsidP="00AB7085">
      <w:pPr>
        <w:pStyle w:val="paragraph"/>
        <w:spacing w:before="0" w:beforeAutospacing="0" w:after="0" w:afterAutospacing="0"/>
        <w:jc w:val="center"/>
        <w:textAlignment w:val="baseline"/>
        <w:rPr>
          <w:rFonts w:ascii="Arial" w:eastAsia="Arial" w:hAnsi="Arial" w:cs="Arial"/>
          <w:b/>
          <w:bCs/>
          <w:lang w:val="en"/>
        </w:rPr>
      </w:pPr>
    </w:p>
    <w:p w14:paraId="45CBB279" w14:textId="77777777" w:rsidR="001F00C2" w:rsidRDefault="001F00C2" w:rsidP="007B142B">
      <w:pPr>
        <w:spacing w:after="0"/>
        <w:rPr>
          <w:rFonts w:eastAsia="Arial" w:cs="Arial"/>
          <w:b/>
          <w:bCs/>
          <w:lang w:val="en-AU"/>
        </w:rPr>
      </w:pPr>
    </w:p>
    <w:p w14:paraId="09443499" w14:textId="13E29686" w:rsidR="001F00C2" w:rsidRPr="00CF4F14" w:rsidRDefault="001F00C2" w:rsidP="007B142B">
      <w:pPr>
        <w:spacing w:after="0"/>
        <w:rPr>
          <w:rFonts w:eastAsia="Arial" w:cs="Arial"/>
          <w:lang w:val="en-AU"/>
        </w:rPr>
      </w:pPr>
    </w:p>
    <w:p w14:paraId="3038C6B5" w14:textId="77777777" w:rsidR="001F00C2" w:rsidRDefault="001F00C2" w:rsidP="007B142B">
      <w:pPr>
        <w:spacing w:after="0"/>
        <w:rPr>
          <w:rFonts w:eastAsia="Arial" w:cs="Arial"/>
          <w:b/>
          <w:bCs/>
          <w:lang w:val="en-AU"/>
        </w:rPr>
      </w:pPr>
    </w:p>
    <w:p w14:paraId="51084DDB" w14:textId="77777777" w:rsidR="00475F88" w:rsidRDefault="00475F88" w:rsidP="007B142B">
      <w:pPr>
        <w:spacing w:after="0"/>
        <w:rPr>
          <w:rFonts w:eastAsia="Arial" w:cs="Arial"/>
          <w:b/>
          <w:bCs/>
          <w:lang w:val="en-AU"/>
        </w:rPr>
      </w:pPr>
    </w:p>
    <w:p w14:paraId="78DC8769" w14:textId="77777777" w:rsidR="00475F88" w:rsidRDefault="00475F88" w:rsidP="007B142B">
      <w:pPr>
        <w:spacing w:after="0"/>
        <w:rPr>
          <w:rFonts w:eastAsia="Arial" w:cs="Arial"/>
          <w:b/>
          <w:bCs/>
          <w:lang w:val="en-AU"/>
        </w:rPr>
      </w:pPr>
    </w:p>
    <w:p w14:paraId="226C5F4F" w14:textId="77777777" w:rsidR="00475F88" w:rsidRDefault="00475F88" w:rsidP="007B142B">
      <w:pPr>
        <w:spacing w:after="0"/>
        <w:rPr>
          <w:rFonts w:eastAsia="Arial" w:cs="Arial"/>
          <w:b/>
          <w:bCs/>
          <w:lang w:val="en-AU"/>
        </w:rPr>
      </w:pPr>
    </w:p>
    <w:p w14:paraId="06EBECE3" w14:textId="77777777" w:rsidR="00475F88" w:rsidRDefault="00475F88" w:rsidP="007B142B">
      <w:pPr>
        <w:spacing w:after="0"/>
        <w:rPr>
          <w:rFonts w:eastAsia="Arial" w:cs="Arial"/>
          <w:b/>
          <w:bCs/>
          <w:lang w:val="en-AU"/>
        </w:rPr>
      </w:pPr>
    </w:p>
    <w:p w14:paraId="63DCF7E1" w14:textId="77777777" w:rsidR="001F00C2" w:rsidRDefault="001F00C2" w:rsidP="007B142B">
      <w:pPr>
        <w:spacing w:after="0"/>
        <w:rPr>
          <w:rFonts w:eastAsia="Arial" w:cs="Arial"/>
          <w:b/>
          <w:bCs/>
          <w:lang w:val="en-AU"/>
        </w:rPr>
      </w:pPr>
    </w:p>
    <w:p w14:paraId="390106F1" w14:textId="77777777" w:rsidR="00D629BF" w:rsidRPr="00AA292B" w:rsidRDefault="00D629BF" w:rsidP="00D629BF">
      <w:pPr>
        <w:spacing w:after="0"/>
        <w:rPr>
          <w:rFonts w:eastAsia="Arial" w:cs="Arial"/>
          <w:lang w:val="en-AU"/>
        </w:rPr>
      </w:pPr>
      <w:r w:rsidRPr="00AA292B">
        <w:rPr>
          <w:rFonts w:eastAsia="Arial" w:cs="Arial"/>
          <w:b/>
          <w:bCs/>
          <w:lang w:val="en-AU"/>
        </w:rPr>
        <w:t>Primary author/s:</w:t>
      </w:r>
      <w:r w:rsidRPr="00AA292B">
        <w:rPr>
          <w:rFonts w:eastAsia="Arial" w:cs="Arial"/>
          <w:lang w:val="en-AU"/>
        </w:rPr>
        <w:t xml:space="preserve"> </w:t>
      </w:r>
    </w:p>
    <w:p w14:paraId="77742C5B" w14:textId="314B488D" w:rsidR="00D629BF" w:rsidRPr="00AA292B" w:rsidRDefault="00D629BF" w:rsidP="00D629BF">
      <w:pPr>
        <w:spacing w:after="0"/>
        <w:rPr>
          <w:rFonts w:eastAsia="Arial" w:cs="Arial"/>
          <w:lang w:val="en-AU"/>
        </w:rPr>
      </w:pPr>
      <w:r w:rsidRPr="00AA292B">
        <w:rPr>
          <w:rFonts w:eastAsia="Arial" w:cs="Arial"/>
          <w:lang w:val="en-AU"/>
        </w:rPr>
        <w:t>Lauren Henley</w:t>
      </w:r>
    </w:p>
    <w:p w14:paraId="3ED692F9" w14:textId="77777777" w:rsidR="00D629BF" w:rsidRPr="00AA292B" w:rsidRDefault="00D629BF" w:rsidP="00D629BF">
      <w:pPr>
        <w:spacing w:after="0"/>
        <w:rPr>
          <w:rFonts w:eastAsia="Arial" w:cs="Arial"/>
          <w:lang w:val="en-AU"/>
        </w:rPr>
      </w:pPr>
      <w:r w:rsidRPr="00AA292B">
        <w:rPr>
          <w:rFonts w:eastAsia="Arial" w:cs="Arial"/>
          <w:lang w:val="en-AU"/>
        </w:rPr>
        <w:t xml:space="preserve">Senior Systemic Advocate </w:t>
      </w:r>
    </w:p>
    <w:p w14:paraId="48D1344C" w14:textId="77777777" w:rsidR="00D629BF" w:rsidRPr="00AA292B" w:rsidRDefault="00D629BF" w:rsidP="00D629BF">
      <w:pPr>
        <w:spacing w:after="0"/>
        <w:rPr>
          <w:rFonts w:eastAsia="Arial" w:cs="Arial"/>
          <w:lang w:val="en-AU"/>
        </w:rPr>
      </w:pPr>
    </w:p>
    <w:p w14:paraId="1CD01949" w14:textId="77777777" w:rsidR="00D629BF" w:rsidRPr="00AA292B" w:rsidRDefault="00D629BF" w:rsidP="00D629BF">
      <w:pPr>
        <w:spacing w:after="0"/>
        <w:rPr>
          <w:rFonts w:eastAsia="Arial" w:cs="Arial"/>
          <w:lang w:val="en-AU"/>
        </w:rPr>
      </w:pPr>
      <w:r w:rsidRPr="00AA292B">
        <w:rPr>
          <w:rFonts w:eastAsia="Arial" w:cs="Arial"/>
          <w:b/>
          <w:bCs/>
          <w:lang w:val="en-AU"/>
        </w:rPr>
        <w:t>Reviewed &amp; approved by:</w:t>
      </w:r>
      <w:r w:rsidRPr="00AA292B">
        <w:rPr>
          <w:rFonts w:eastAsia="Arial" w:cs="Arial"/>
          <w:lang w:val="en-AU"/>
        </w:rPr>
        <w:t xml:space="preserve"> </w:t>
      </w:r>
    </w:p>
    <w:p w14:paraId="7666B88B" w14:textId="77777777" w:rsidR="00D629BF" w:rsidRPr="00AA292B" w:rsidRDefault="00D629BF" w:rsidP="00D629BF">
      <w:pPr>
        <w:spacing w:after="0"/>
        <w:rPr>
          <w:rFonts w:eastAsia="Arial" w:cs="Arial"/>
          <w:lang w:val="en-AU"/>
        </w:rPr>
      </w:pPr>
      <w:r w:rsidRPr="00AA292B">
        <w:rPr>
          <w:rFonts w:eastAsia="Arial" w:cs="Arial"/>
          <w:lang w:val="en-AU"/>
        </w:rPr>
        <w:t>Ross B. Joyce</w:t>
      </w:r>
    </w:p>
    <w:p w14:paraId="5DC2A115" w14:textId="77777777" w:rsidR="00D629BF" w:rsidRPr="00AA292B" w:rsidRDefault="00D629BF" w:rsidP="00D629BF">
      <w:pPr>
        <w:spacing w:after="0"/>
        <w:rPr>
          <w:rFonts w:eastAsia="Arial" w:cs="Arial"/>
          <w:lang w:val="en-AU"/>
        </w:rPr>
      </w:pPr>
      <w:r w:rsidRPr="00AA292B">
        <w:rPr>
          <w:rFonts w:eastAsia="Arial" w:cs="Arial"/>
          <w:lang w:val="en-AU"/>
        </w:rPr>
        <w:t>Chief Executive Officer</w:t>
      </w:r>
    </w:p>
    <w:p w14:paraId="07D1DAFD" w14:textId="55DA64DC" w:rsidR="00C1246A" w:rsidRPr="00220108" w:rsidRDefault="00C1246A">
      <w:pPr>
        <w:spacing w:after="0" w:line="240" w:lineRule="auto"/>
        <w:rPr>
          <w:rStyle w:val="Heading2Char"/>
          <w:rFonts w:eastAsiaTheme="majorEastAsia" w:cs="Arial"/>
          <w:color w:val="auto"/>
        </w:rPr>
      </w:pPr>
    </w:p>
    <w:p w14:paraId="33C4E0F6" w14:textId="211A44E5" w:rsidR="00045D81" w:rsidRPr="00220108" w:rsidRDefault="00045D81" w:rsidP="009D1990">
      <w:pPr>
        <w:jc w:val="center"/>
        <w:rPr>
          <w:rStyle w:val="Heading2Char"/>
          <w:rFonts w:eastAsiaTheme="majorEastAsia" w:cs="Arial"/>
          <w:b w:val="0"/>
          <w:color w:val="008080"/>
          <w:sz w:val="32"/>
          <w:szCs w:val="32"/>
        </w:rPr>
      </w:pPr>
      <w:bookmarkStart w:id="4" w:name="_Toc160828854"/>
      <w:r w:rsidRPr="00220108">
        <w:rPr>
          <w:rStyle w:val="Heading2Char"/>
          <w:rFonts w:eastAsiaTheme="majorEastAsia" w:cs="Arial"/>
          <w:color w:val="008080"/>
          <w:sz w:val="32"/>
          <w:szCs w:val="32"/>
        </w:rPr>
        <w:t>Table of Contents</w:t>
      </w:r>
      <w:bookmarkEnd w:id="0"/>
      <w:bookmarkEnd w:id="1"/>
      <w:bookmarkEnd w:id="2"/>
      <w:bookmarkEnd w:id="4"/>
    </w:p>
    <w:bookmarkStart w:id="5" w:name="_Hlk160823895"/>
    <w:p w14:paraId="078E288D" w14:textId="6F420358" w:rsidR="00B73687" w:rsidRDefault="00162A08">
      <w:pPr>
        <w:pStyle w:val="TOC1"/>
        <w:tabs>
          <w:tab w:val="right" w:leader="dot" w:pos="9346"/>
        </w:tabs>
        <w:rPr>
          <w:rFonts w:eastAsiaTheme="minorEastAsia" w:cstheme="minorBidi"/>
          <w:b w:val="0"/>
          <w:bCs w:val="0"/>
          <w:caps w:val="0"/>
          <w:noProof/>
          <w:kern w:val="2"/>
          <w:sz w:val="22"/>
          <w:szCs w:val="22"/>
          <w:lang w:val="en-AU" w:eastAsia="en-AU"/>
          <w14:ligatures w14:val="standardContextual"/>
        </w:rPr>
      </w:pPr>
      <w:r w:rsidRPr="00220108">
        <w:rPr>
          <w:rFonts w:ascii="Arial" w:hAnsi="Arial" w:cs="Arial"/>
          <w:sz w:val="24"/>
          <w:szCs w:val="24"/>
        </w:rPr>
        <w:fldChar w:fldCharType="begin"/>
      </w:r>
      <w:r w:rsidRPr="00220108">
        <w:rPr>
          <w:rFonts w:ascii="Arial" w:hAnsi="Arial" w:cs="Arial"/>
          <w:sz w:val="24"/>
          <w:szCs w:val="24"/>
        </w:rPr>
        <w:instrText xml:space="preserve"> TOC \o "1-3" \h \z \u </w:instrText>
      </w:r>
      <w:r w:rsidRPr="00220108">
        <w:rPr>
          <w:rFonts w:ascii="Arial" w:hAnsi="Arial" w:cs="Arial"/>
          <w:sz w:val="24"/>
          <w:szCs w:val="24"/>
        </w:rPr>
        <w:fldChar w:fldCharType="separate"/>
      </w:r>
    </w:p>
    <w:p w14:paraId="371784CD" w14:textId="3751CE31" w:rsidR="00B73687" w:rsidRPr="00FB1050" w:rsidRDefault="008A13FE">
      <w:pPr>
        <w:pStyle w:val="TOC2"/>
        <w:tabs>
          <w:tab w:val="right" w:leader="dot" w:pos="9346"/>
        </w:tabs>
        <w:rPr>
          <w:rFonts w:ascii="Arial" w:eastAsiaTheme="minorEastAsia" w:hAnsi="Arial" w:cs="Arial"/>
          <w:smallCaps w:val="0"/>
          <w:noProof/>
          <w:kern w:val="2"/>
          <w:sz w:val="24"/>
          <w:szCs w:val="24"/>
          <w:lang w:val="en-AU" w:eastAsia="en-AU"/>
          <w14:ligatures w14:val="standardContextual"/>
        </w:rPr>
      </w:pPr>
      <w:hyperlink w:anchor="_Toc160828855" w:history="1">
        <w:r w:rsidR="00B73687" w:rsidRPr="00FB1050">
          <w:rPr>
            <w:rStyle w:val="Hyperlink"/>
            <w:rFonts w:ascii="Arial" w:eastAsia="Arial" w:hAnsi="Arial" w:cs="Arial"/>
            <w:noProof/>
            <w:sz w:val="24"/>
            <w:szCs w:val="24"/>
          </w:rPr>
          <w:t>About AFDO</w:t>
        </w:r>
        <w:r w:rsidR="00B73687" w:rsidRPr="00FB1050">
          <w:rPr>
            <w:rFonts w:ascii="Arial" w:hAnsi="Arial" w:cs="Arial"/>
            <w:noProof/>
            <w:webHidden/>
            <w:sz w:val="24"/>
            <w:szCs w:val="24"/>
          </w:rPr>
          <w:tab/>
        </w:r>
        <w:r w:rsidR="00B73687" w:rsidRPr="00FB1050">
          <w:rPr>
            <w:rFonts w:ascii="Arial" w:hAnsi="Arial" w:cs="Arial"/>
            <w:noProof/>
            <w:webHidden/>
            <w:sz w:val="24"/>
            <w:szCs w:val="24"/>
          </w:rPr>
          <w:fldChar w:fldCharType="begin"/>
        </w:r>
        <w:r w:rsidR="00B73687" w:rsidRPr="00FB1050">
          <w:rPr>
            <w:rFonts w:ascii="Arial" w:hAnsi="Arial" w:cs="Arial"/>
            <w:noProof/>
            <w:webHidden/>
            <w:sz w:val="24"/>
            <w:szCs w:val="24"/>
          </w:rPr>
          <w:instrText xml:space="preserve"> PAGEREF _Toc160828855 \h </w:instrText>
        </w:r>
        <w:r w:rsidR="00B73687" w:rsidRPr="00FB1050">
          <w:rPr>
            <w:rFonts w:ascii="Arial" w:hAnsi="Arial" w:cs="Arial"/>
            <w:noProof/>
            <w:webHidden/>
            <w:sz w:val="24"/>
            <w:szCs w:val="24"/>
          </w:rPr>
        </w:r>
        <w:r w:rsidR="00B73687" w:rsidRPr="00FB1050">
          <w:rPr>
            <w:rFonts w:ascii="Arial" w:hAnsi="Arial" w:cs="Arial"/>
            <w:noProof/>
            <w:webHidden/>
            <w:sz w:val="24"/>
            <w:szCs w:val="24"/>
          </w:rPr>
          <w:fldChar w:fldCharType="separate"/>
        </w:r>
        <w:r w:rsidR="00B73687" w:rsidRPr="00FB1050">
          <w:rPr>
            <w:rFonts w:ascii="Arial" w:hAnsi="Arial" w:cs="Arial"/>
            <w:noProof/>
            <w:webHidden/>
            <w:sz w:val="24"/>
            <w:szCs w:val="24"/>
          </w:rPr>
          <w:t>3</w:t>
        </w:r>
        <w:r w:rsidR="00B73687" w:rsidRPr="00FB1050">
          <w:rPr>
            <w:rFonts w:ascii="Arial" w:hAnsi="Arial" w:cs="Arial"/>
            <w:noProof/>
            <w:webHidden/>
            <w:sz w:val="24"/>
            <w:szCs w:val="24"/>
          </w:rPr>
          <w:fldChar w:fldCharType="end"/>
        </w:r>
      </w:hyperlink>
    </w:p>
    <w:p w14:paraId="1C4E8A83" w14:textId="510DDE50" w:rsidR="00B73687" w:rsidRPr="00FB1050" w:rsidRDefault="008A13FE">
      <w:pPr>
        <w:pStyle w:val="TOC2"/>
        <w:tabs>
          <w:tab w:val="right" w:leader="dot" w:pos="9346"/>
        </w:tabs>
        <w:rPr>
          <w:rFonts w:ascii="Arial" w:eastAsiaTheme="minorEastAsia" w:hAnsi="Arial" w:cs="Arial"/>
          <w:smallCaps w:val="0"/>
          <w:noProof/>
          <w:kern w:val="2"/>
          <w:sz w:val="24"/>
          <w:szCs w:val="24"/>
          <w:lang w:val="en-AU" w:eastAsia="en-AU"/>
          <w14:ligatures w14:val="standardContextual"/>
        </w:rPr>
      </w:pPr>
      <w:hyperlink w:anchor="_Toc160828856" w:history="1">
        <w:r w:rsidR="00B73687" w:rsidRPr="00FB1050">
          <w:rPr>
            <w:rStyle w:val="Hyperlink"/>
            <w:rFonts w:ascii="Arial" w:hAnsi="Arial" w:cs="Arial"/>
            <w:noProof/>
            <w:sz w:val="24"/>
            <w:szCs w:val="24"/>
          </w:rPr>
          <w:t>Acknowledgement</w:t>
        </w:r>
        <w:r w:rsidR="00B73687" w:rsidRPr="00FB1050">
          <w:rPr>
            <w:rFonts w:ascii="Arial" w:hAnsi="Arial" w:cs="Arial"/>
            <w:noProof/>
            <w:webHidden/>
            <w:sz w:val="24"/>
            <w:szCs w:val="24"/>
          </w:rPr>
          <w:tab/>
        </w:r>
        <w:r w:rsidR="00B73687" w:rsidRPr="00FB1050">
          <w:rPr>
            <w:rFonts w:ascii="Arial" w:hAnsi="Arial" w:cs="Arial"/>
            <w:noProof/>
            <w:webHidden/>
            <w:sz w:val="24"/>
            <w:szCs w:val="24"/>
          </w:rPr>
          <w:fldChar w:fldCharType="begin"/>
        </w:r>
        <w:r w:rsidR="00B73687" w:rsidRPr="00FB1050">
          <w:rPr>
            <w:rFonts w:ascii="Arial" w:hAnsi="Arial" w:cs="Arial"/>
            <w:noProof/>
            <w:webHidden/>
            <w:sz w:val="24"/>
            <w:szCs w:val="24"/>
          </w:rPr>
          <w:instrText xml:space="preserve"> PAGEREF _Toc160828856 \h </w:instrText>
        </w:r>
        <w:r w:rsidR="00B73687" w:rsidRPr="00FB1050">
          <w:rPr>
            <w:rFonts w:ascii="Arial" w:hAnsi="Arial" w:cs="Arial"/>
            <w:noProof/>
            <w:webHidden/>
            <w:sz w:val="24"/>
            <w:szCs w:val="24"/>
          </w:rPr>
        </w:r>
        <w:r w:rsidR="00B73687" w:rsidRPr="00FB1050">
          <w:rPr>
            <w:rFonts w:ascii="Arial" w:hAnsi="Arial" w:cs="Arial"/>
            <w:noProof/>
            <w:webHidden/>
            <w:sz w:val="24"/>
            <w:szCs w:val="24"/>
          </w:rPr>
          <w:fldChar w:fldCharType="separate"/>
        </w:r>
        <w:r w:rsidR="00B73687" w:rsidRPr="00FB1050">
          <w:rPr>
            <w:rFonts w:ascii="Arial" w:hAnsi="Arial" w:cs="Arial"/>
            <w:noProof/>
            <w:webHidden/>
            <w:sz w:val="24"/>
            <w:szCs w:val="24"/>
          </w:rPr>
          <w:t>4</w:t>
        </w:r>
        <w:r w:rsidR="00B73687" w:rsidRPr="00FB1050">
          <w:rPr>
            <w:rFonts w:ascii="Arial" w:hAnsi="Arial" w:cs="Arial"/>
            <w:noProof/>
            <w:webHidden/>
            <w:sz w:val="24"/>
            <w:szCs w:val="24"/>
          </w:rPr>
          <w:fldChar w:fldCharType="end"/>
        </w:r>
      </w:hyperlink>
    </w:p>
    <w:p w14:paraId="6A16156A" w14:textId="05B1A7E3" w:rsidR="00462386" w:rsidRDefault="00E97BB6" w:rsidP="00D629BF">
      <w:pPr>
        <w:pStyle w:val="TOC2"/>
        <w:tabs>
          <w:tab w:val="right" w:leader="dot" w:pos="9346"/>
        </w:tabs>
        <w:rPr>
          <w:rFonts w:ascii="Arial" w:hAnsi="Arial" w:cs="Arial"/>
          <w:noProof/>
          <w:sz w:val="24"/>
          <w:szCs w:val="24"/>
        </w:rPr>
      </w:pPr>
      <w:r>
        <w:rPr>
          <w:rFonts w:ascii="Arial" w:hAnsi="Arial" w:cs="Arial"/>
          <w:sz w:val="24"/>
          <w:szCs w:val="24"/>
        </w:rPr>
        <w:t xml:space="preserve">1. </w:t>
      </w:r>
      <w:hyperlink w:anchor="_Toc160828857" w:history="1">
        <w:r w:rsidR="00B73687" w:rsidRPr="00FB1050">
          <w:rPr>
            <w:rStyle w:val="Hyperlink"/>
            <w:rFonts w:ascii="Arial" w:hAnsi="Arial" w:cs="Arial"/>
            <w:noProof/>
            <w:sz w:val="24"/>
            <w:szCs w:val="24"/>
          </w:rPr>
          <w:t>Introductory comments</w:t>
        </w:r>
        <w:r w:rsidR="00B73687" w:rsidRPr="00FB1050">
          <w:rPr>
            <w:rFonts w:ascii="Arial" w:hAnsi="Arial" w:cs="Arial"/>
            <w:noProof/>
            <w:webHidden/>
            <w:sz w:val="24"/>
            <w:szCs w:val="24"/>
          </w:rPr>
          <w:tab/>
        </w:r>
        <w:r w:rsidR="00B73687" w:rsidRPr="00FB1050">
          <w:rPr>
            <w:rFonts w:ascii="Arial" w:hAnsi="Arial" w:cs="Arial"/>
            <w:noProof/>
            <w:webHidden/>
            <w:sz w:val="24"/>
            <w:szCs w:val="24"/>
          </w:rPr>
          <w:fldChar w:fldCharType="begin"/>
        </w:r>
        <w:r w:rsidR="00B73687" w:rsidRPr="00FB1050">
          <w:rPr>
            <w:rFonts w:ascii="Arial" w:hAnsi="Arial" w:cs="Arial"/>
            <w:noProof/>
            <w:webHidden/>
            <w:sz w:val="24"/>
            <w:szCs w:val="24"/>
          </w:rPr>
          <w:instrText xml:space="preserve"> PAGEREF _Toc160828857 \h </w:instrText>
        </w:r>
        <w:r w:rsidR="00B73687" w:rsidRPr="00FB1050">
          <w:rPr>
            <w:rFonts w:ascii="Arial" w:hAnsi="Arial" w:cs="Arial"/>
            <w:noProof/>
            <w:webHidden/>
            <w:sz w:val="24"/>
            <w:szCs w:val="24"/>
          </w:rPr>
        </w:r>
        <w:r w:rsidR="00B73687" w:rsidRPr="00FB1050">
          <w:rPr>
            <w:rFonts w:ascii="Arial" w:hAnsi="Arial" w:cs="Arial"/>
            <w:noProof/>
            <w:webHidden/>
            <w:sz w:val="24"/>
            <w:szCs w:val="24"/>
          </w:rPr>
          <w:fldChar w:fldCharType="separate"/>
        </w:r>
        <w:r w:rsidR="00B73687" w:rsidRPr="00FB1050">
          <w:rPr>
            <w:rFonts w:ascii="Arial" w:hAnsi="Arial" w:cs="Arial"/>
            <w:noProof/>
            <w:webHidden/>
            <w:sz w:val="24"/>
            <w:szCs w:val="24"/>
          </w:rPr>
          <w:t>5</w:t>
        </w:r>
        <w:r w:rsidR="00B73687" w:rsidRPr="00FB1050">
          <w:rPr>
            <w:rFonts w:ascii="Arial" w:hAnsi="Arial" w:cs="Arial"/>
            <w:noProof/>
            <w:webHidden/>
            <w:sz w:val="24"/>
            <w:szCs w:val="24"/>
          </w:rPr>
          <w:fldChar w:fldCharType="end"/>
        </w:r>
      </w:hyperlink>
      <w:r w:rsidR="00FB1050">
        <w:rPr>
          <w:rFonts w:ascii="Arial" w:hAnsi="Arial" w:cs="Arial"/>
          <w:noProof/>
          <w:sz w:val="24"/>
          <w:szCs w:val="24"/>
        </w:rPr>
        <w:br/>
      </w:r>
      <w:r>
        <w:rPr>
          <w:rFonts w:ascii="Arial" w:hAnsi="Arial" w:cs="Arial"/>
          <w:noProof/>
          <w:sz w:val="24"/>
          <w:szCs w:val="24"/>
        </w:rPr>
        <w:t>2</w:t>
      </w:r>
      <w:r w:rsidR="00FB1050">
        <w:rPr>
          <w:rFonts w:ascii="Arial" w:hAnsi="Arial" w:cs="Arial"/>
          <w:noProof/>
          <w:sz w:val="24"/>
          <w:szCs w:val="24"/>
        </w:rPr>
        <w:t xml:space="preserve">. </w:t>
      </w:r>
      <w:r w:rsidR="00475F88">
        <w:rPr>
          <w:rFonts w:ascii="Arial" w:hAnsi="Arial" w:cs="Arial"/>
          <w:noProof/>
          <w:sz w:val="24"/>
          <w:szCs w:val="24"/>
        </w:rPr>
        <w:t>Summary of Recommendations</w:t>
      </w:r>
      <w:r w:rsidR="007B3C84">
        <w:rPr>
          <w:rFonts w:ascii="Arial" w:hAnsi="Arial" w:cs="Arial"/>
          <w:noProof/>
          <w:sz w:val="24"/>
          <w:szCs w:val="24"/>
        </w:rPr>
        <w:tab/>
      </w:r>
      <w:r w:rsidR="00015051">
        <w:rPr>
          <w:rFonts w:ascii="Arial" w:hAnsi="Arial" w:cs="Arial"/>
          <w:noProof/>
          <w:sz w:val="24"/>
          <w:szCs w:val="24"/>
        </w:rPr>
        <w:t>6</w:t>
      </w:r>
      <w:r w:rsidR="007B3C84">
        <w:rPr>
          <w:rFonts w:ascii="Arial" w:hAnsi="Arial" w:cs="Arial"/>
          <w:noProof/>
          <w:sz w:val="24"/>
          <w:szCs w:val="24"/>
        </w:rPr>
        <w:br/>
      </w:r>
      <w:r w:rsidR="00437EE5">
        <w:rPr>
          <w:rFonts w:ascii="Arial" w:hAnsi="Arial" w:cs="Arial"/>
          <w:noProof/>
          <w:sz w:val="24"/>
          <w:szCs w:val="24"/>
        </w:rPr>
        <w:t xml:space="preserve">3. </w:t>
      </w:r>
      <w:r w:rsidR="00D629BF">
        <w:rPr>
          <w:rFonts w:ascii="Arial" w:hAnsi="Arial" w:cs="Arial"/>
          <w:noProof/>
          <w:sz w:val="24"/>
          <w:szCs w:val="24"/>
        </w:rPr>
        <w:t>What</w:t>
      </w:r>
      <w:r w:rsidR="00015051">
        <w:rPr>
          <w:rFonts w:ascii="Arial" w:hAnsi="Arial" w:cs="Arial"/>
          <w:noProof/>
          <w:sz w:val="24"/>
          <w:szCs w:val="24"/>
        </w:rPr>
        <w:t xml:space="preserve"> is</w:t>
      </w:r>
      <w:r w:rsidR="00D629BF">
        <w:rPr>
          <w:rFonts w:ascii="Arial" w:hAnsi="Arial" w:cs="Arial"/>
          <w:noProof/>
          <w:sz w:val="24"/>
          <w:szCs w:val="24"/>
        </w:rPr>
        <w:t xml:space="preserve"> missing from the strategy?</w:t>
      </w:r>
      <w:r w:rsidR="00437EE5">
        <w:rPr>
          <w:rFonts w:ascii="Arial" w:hAnsi="Arial" w:cs="Arial"/>
          <w:noProof/>
          <w:sz w:val="24"/>
          <w:szCs w:val="24"/>
        </w:rPr>
        <w:tab/>
      </w:r>
      <w:r w:rsidR="00015051">
        <w:rPr>
          <w:rFonts w:ascii="Arial" w:hAnsi="Arial" w:cs="Arial"/>
          <w:noProof/>
          <w:sz w:val="24"/>
          <w:szCs w:val="24"/>
        </w:rPr>
        <w:t>8</w:t>
      </w:r>
      <w:r w:rsidR="009F688B">
        <w:rPr>
          <w:rFonts w:ascii="Arial" w:hAnsi="Arial" w:cs="Arial"/>
          <w:noProof/>
          <w:sz w:val="24"/>
          <w:szCs w:val="24"/>
        </w:rPr>
        <w:br/>
        <w:t>4. Foundations of the Strategy</w:t>
      </w:r>
      <w:r w:rsidR="009F688B">
        <w:rPr>
          <w:rFonts w:ascii="Arial" w:hAnsi="Arial" w:cs="Arial"/>
          <w:noProof/>
          <w:sz w:val="24"/>
          <w:szCs w:val="24"/>
        </w:rPr>
        <w:tab/>
        <w:t>11</w:t>
      </w:r>
      <w:r w:rsidR="00D629BF">
        <w:rPr>
          <w:rFonts w:ascii="Arial" w:hAnsi="Arial" w:cs="Arial"/>
          <w:noProof/>
          <w:sz w:val="24"/>
          <w:szCs w:val="24"/>
        </w:rPr>
        <w:br/>
      </w:r>
      <w:r w:rsidR="009F688B">
        <w:rPr>
          <w:rFonts w:ascii="Arial" w:hAnsi="Arial" w:cs="Arial"/>
          <w:noProof/>
          <w:sz w:val="24"/>
          <w:szCs w:val="24"/>
        </w:rPr>
        <w:t>5</w:t>
      </w:r>
      <w:r w:rsidR="00D629BF">
        <w:rPr>
          <w:rFonts w:ascii="Arial" w:hAnsi="Arial" w:cs="Arial"/>
          <w:noProof/>
          <w:sz w:val="24"/>
          <w:szCs w:val="24"/>
        </w:rPr>
        <w:t xml:space="preserve">. </w:t>
      </w:r>
      <w:r w:rsidR="00B9107A">
        <w:rPr>
          <w:rFonts w:ascii="Arial" w:hAnsi="Arial" w:cs="Arial"/>
          <w:noProof/>
          <w:sz w:val="24"/>
          <w:szCs w:val="24"/>
        </w:rPr>
        <w:t>Re</w:t>
      </w:r>
      <w:r w:rsidR="005F7B02">
        <w:rPr>
          <w:rFonts w:ascii="Arial" w:hAnsi="Arial" w:cs="Arial"/>
          <w:noProof/>
          <w:sz w:val="24"/>
          <w:szCs w:val="24"/>
        </w:rPr>
        <w:t>i</w:t>
      </w:r>
      <w:r w:rsidR="00B9107A">
        <w:rPr>
          <w:rFonts w:ascii="Arial" w:hAnsi="Arial" w:cs="Arial"/>
          <w:noProof/>
          <w:sz w:val="24"/>
          <w:szCs w:val="24"/>
        </w:rPr>
        <w:t>nforcing the need for an interjurisdic</w:t>
      </w:r>
      <w:r w:rsidR="00B0470D">
        <w:rPr>
          <w:rFonts w:ascii="Arial" w:hAnsi="Arial" w:cs="Arial"/>
          <w:noProof/>
          <w:sz w:val="24"/>
          <w:szCs w:val="24"/>
        </w:rPr>
        <w:t>ti</w:t>
      </w:r>
      <w:r w:rsidR="00B9107A">
        <w:rPr>
          <w:rFonts w:ascii="Arial" w:hAnsi="Arial" w:cs="Arial"/>
          <w:noProof/>
          <w:sz w:val="24"/>
          <w:szCs w:val="24"/>
        </w:rPr>
        <w:t>onal approach</w:t>
      </w:r>
      <w:r w:rsidR="00B9107A">
        <w:rPr>
          <w:rFonts w:ascii="Arial" w:hAnsi="Arial" w:cs="Arial"/>
          <w:noProof/>
          <w:sz w:val="24"/>
          <w:szCs w:val="24"/>
        </w:rPr>
        <w:tab/>
      </w:r>
      <w:r w:rsidR="007A3D78">
        <w:rPr>
          <w:rFonts w:ascii="Arial" w:hAnsi="Arial" w:cs="Arial"/>
          <w:noProof/>
          <w:sz w:val="24"/>
          <w:szCs w:val="24"/>
        </w:rPr>
        <w:t>1</w:t>
      </w:r>
      <w:r w:rsidR="009F688B">
        <w:rPr>
          <w:rFonts w:ascii="Arial" w:hAnsi="Arial" w:cs="Arial"/>
          <w:noProof/>
          <w:sz w:val="24"/>
          <w:szCs w:val="24"/>
        </w:rPr>
        <w:t>2</w:t>
      </w:r>
    </w:p>
    <w:p w14:paraId="1C54199D" w14:textId="21E162D5" w:rsidR="001408F4" w:rsidRDefault="009F688B" w:rsidP="00D629BF">
      <w:pPr>
        <w:pStyle w:val="TOC2"/>
        <w:tabs>
          <w:tab w:val="right" w:leader="dot" w:pos="9346"/>
        </w:tabs>
        <w:rPr>
          <w:rFonts w:ascii="Arial" w:hAnsi="Arial" w:cs="Arial"/>
          <w:noProof/>
          <w:sz w:val="24"/>
          <w:szCs w:val="24"/>
        </w:rPr>
      </w:pPr>
      <w:r>
        <w:rPr>
          <w:rFonts w:ascii="Arial" w:hAnsi="Arial" w:cs="Arial"/>
          <w:noProof/>
          <w:sz w:val="24"/>
          <w:szCs w:val="24"/>
        </w:rPr>
        <w:t>6</w:t>
      </w:r>
      <w:r w:rsidR="008E5E50">
        <w:rPr>
          <w:rFonts w:ascii="Arial" w:hAnsi="Arial" w:cs="Arial"/>
          <w:noProof/>
          <w:sz w:val="24"/>
          <w:szCs w:val="24"/>
        </w:rPr>
        <w:t xml:space="preserve">. </w:t>
      </w:r>
      <w:r w:rsidR="001408F4">
        <w:rPr>
          <w:rFonts w:ascii="Arial" w:hAnsi="Arial" w:cs="Arial"/>
          <w:noProof/>
          <w:sz w:val="24"/>
          <w:szCs w:val="24"/>
        </w:rPr>
        <w:t>Feedback on the guiding principles included in the Strategy</w:t>
      </w:r>
      <w:r w:rsidR="001408F4">
        <w:rPr>
          <w:rFonts w:ascii="Arial" w:hAnsi="Arial" w:cs="Arial"/>
          <w:noProof/>
          <w:sz w:val="24"/>
          <w:szCs w:val="24"/>
        </w:rPr>
        <w:tab/>
      </w:r>
      <w:r w:rsidR="007A3D78">
        <w:rPr>
          <w:rFonts w:ascii="Arial" w:hAnsi="Arial" w:cs="Arial"/>
          <w:noProof/>
          <w:sz w:val="24"/>
          <w:szCs w:val="24"/>
        </w:rPr>
        <w:t>1</w:t>
      </w:r>
      <w:r>
        <w:rPr>
          <w:rFonts w:ascii="Arial" w:hAnsi="Arial" w:cs="Arial"/>
          <w:noProof/>
          <w:sz w:val="24"/>
          <w:szCs w:val="24"/>
        </w:rPr>
        <w:t>3</w:t>
      </w:r>
    </w:p>
    <w:p w14:paraId="0C24757F" w14:textId="0B8AEB68" w:rsidR="00B73687" w:rsidRPr="00D629BF" w:rsidRDefault="009F688B" w:rsidP="00D629BF">
      <w:pPr>
        <w:pStyle w:val="TOC2"/>
        <w:tabs>
          <w:tab w:val="right" w:leader="dot" w:pos="9346"/>
        </w:tabs>
        <w:rPr>
          <w:rFonts w:ascii="Arial" w:hAnsi="Arial" w:cs="Arial"/>
          <w:noProof/>
          <w:sz w:val="24"/>
          <w:szCs w:val="24"/>
        </w:rPr>
      </w:pPr>
      <w:r>
        <w:rPr>
          <w:rFonts w:ascii="Arial" w:hAnsi="Arial" w:cs="Arial"/>
          <w:noProof/>
          <w:sz w:val="24"/>
          <w:szCs w:val="24"/>
        </w:rPr>
        <w:t>7</w:t>
      </w:r>
      <w:r w:rsidR="001408F4">
        <w:rPr>
          <w:rFonts w:ascii="Arial" w:hAnsi="Arial" w:cs="Arial"/>
          <w:noProof/>
          <w:sz w:val="24"/>
          <w:szCs w:val="24"/>
        </w:rPr>
        <w:t>. Feedback on comm</w:t>
      </w:r>
      <w:r w:rsidR="00225B27">
        <w:rPr>
          <w:rFonts w:ascii="Arial" w:hAnsi="Arial" w:cs="Arial"/>
          <w:noProof/>
          <w:sz w:val="24"/>
          <w:szCs w:val="24"/>
        </w:rPr>
        <w:t>itments included under the strategy</w:t>
      </w:r>
      <w:r w:rsidR="00225B27">
        <w:rPr>
          <w:rFonts w:ascii="Arial" w:hAnsi="Arial" w:cs="Arial"/>
          <w:noProof/>
          <w:sz w:val="24"/>
          <w:szCs w:val="24"/>
        </w:rPr>
        <w:tab/>
      </w:r>
      <w:r w:rsidR="00D60F01">
        <w:rPr>
          <w:rFonts w:ascii="Arial" w:hAnsi="Arial" w:cs="Arial"/>
          <w:noProof/>
          <w:sz w:val="24"/>
          <w:szCs w:val="24"/>
        </w:rPr>
        <w:t>1</w:t>
      </w:r>
      <w:r>
        <w:rPr>
          <w:rFonts w:ascii="Arial" w:hAnsi="Arial" w:cs="Arial"/>
          <w:noProof/>
          <w:sz w:val="24"/>
          <w:szCs w:val="24"/>
        </w:rPr>
        <w:t>6</w:t>
      </w:r>
      <w:r w:rsidR="00B365B6">
        <w:rPr>
          <w:rFonts w:ascii="Arial" w:hAnsi="Arial" w:cs="Arial"/>
          <w:noProof/>
          <w:sz w:val="24"/>
          <w:szCs w:val="24"/>
        </w:rPr>
        <w:br/>
      </w:r>
      <w:r>
        <w:rPr>
          <w:rFonts w:ascii="Arial" w:hAnsi="Arial" w:cs="Arial"/>
          <w:noProof/>
          <w:sz w:val="24"/>
          <w:szCs w:val="24"/>
        </w:rPr>
        <w:t>8</w:t>
      </w:r>
      <w:r w:rsidR="00B365B6">
        <w:rPr>
          <w:rFonts w:ascii="Arial" w:hAnsi="Arial" w:cs="Arial"/>
          <w:noProof/>
          <w:sz w:val="24"/>
          <w:szCs w:val="24"/>
        </w:rPr>
        <w:t>. Concluding comments</w:t>
      </w:r>
      <w:r w:rsidR="00B365B6">
        <w:rPr>
          <w:rFonts w:ascii="Arial" w:hAnsi="Arial" w:cs="Arial"/>
          <w:noProof/>
          <w:sz w:val="24"/>
          <w:szCs w:val="24"/>
        </w:rPr>
        <w:tab/>
      </w:r>
      <w:r>
        <w:rPr>
          <w:rFonts w:ascii="Arial" w:hAnsi="Arial" w:cs="Arial"/>
          <w:noProof/>
          <w:sz w:val="24"/>
          <w:szCs w:val="24"/>
        </w:rPr>
        <w:t>19</w:t>
      </w:r>
    </w:p>
    <w:p w14:paraId="08E49E0E" w14:textId="77777777" w:rsidR="005E6A37" w:rsidRPr="00FB1050" w:rsidRDefault="005E6A37" w:rsidP="005E6A37">
      <w:pPr>
        <w:rPr>
          <w:rFonts w:cs="Arial"/>
        </w:rPr>
      </w:pPr>
    </w:p>
    <w:p w14:paraId="77BE3B41" w14:textId="77777777" w:rsidR="00B0001B" w:rsidRDefault="00B0001B" w:rsidP="005E6A37">
      <w:pPr>
        <w:rPr>
          <w:rFonts w:cs="Arial"/>
        </w:rPr>
      </w:pPr>
    </w:p>
    <w:p w14:paraId="096D995F" w14:textId="77777777" w:rsidR="00C351B5" w:rsidRDefault="00C351B5" w:rsidP="005E6A37">
      <w:pPr>
        <w:rPr>
          <w:b/>
          <w:bCs/>
          <w:lang w:val="en-AU"/>
        </w:rPr>
      </w:pPr>
    </w:p>
    <w:p w14:paraId="02FAD188" w14:textId="77777777" w:rsidR="0068160D" w:rsidRDefault="0068160D" w:rsidP="005E6A37">
      <w:pPr>
        <w:rPr>
          <w:b/>
          <w:bCs/>
          <w:lang w:val="en-AU"/>
        </w:rPr>
      </w:pPr>
    </w:p>
    <w:p w14:paraId="0E953835" w14:textId="77777777" w:rsidR="0068160D" w:rsidRDefault="0068160D" w:rsidP="005E6A37">
      <w:pPr>
        <w:rPr>
          <w:b/>
          <w:bCs/>
          <w:lang w:val="en-AU"/>
        </w:rPr>
      </w:pPr>
    </w:p>
    <w:p w14:paraId="68675942" w14:textId="77777777" w:rsidR="0068160D" w:rsidRDefault="0068160D" w:rsidP="005E6A37">
      <w:pPr>
        <w:rPr>
          <w:b/>
          <w:bCs/>
          <w:lang w:val="en-AU"/>
        </w:rPr>
      </w:pPr>
    </w:p>
    <w:p w14:paraId="6C932AA4" w14:textId="77777777" w:rsidR="0068160D" w:rsidRDefault="0068160D" w:rsidP="005E6A37">
      <w:pPr>
        <w:rPr>
          <w:b/>
          <w:bCs/>
          <w:lang w:val="en-AU"/>
        </w:rPr>
      </w:pPr>
    </w:p>
    <w:p w14:paraId="164C66D9" w14:textId="6847113F" w:rsidR="00B365B6" w:rsidRDefault="00C351B5" w:rsidP="005E6A37">
      <w:pPr>
        <w:rPr>
          <w:rFonts w:cs="Arial"/>
        </w:rPr>
      </w:pPr>
      <w:r w:rsidRPr="004C1EB1">
        <w:rPr>
          <w:b/>
          <w:bCs/>
          <w:lang w:val="en-AU"/>
        </w:rPr>
        <w:t>AFDO consents to the publishing of this submission</w:t>
      </w:r>
      <w:r>
        <w:rPr>
          <w:b/>
          <w:bCs/>
          <w:lang w:val="en-AU"/>
        </w:rPr>
        <w:t xml:space="preserve"> inclusive of email contacts</w:t>
      </w:r>
      <w:r w:rsidRPr="004C1EB1">
        <w:rPr>
          <w:b/>
          <w:bCs/>
          <w:lang w:val="en-AU"/>
        </w:rPr>
        <w:t>.</w:t>
      </w:r>
    </w:p>
    <w:p w14:paraId="267293CE" w14:textId="77777777" w:rsidR="00B0001B" w:rsidRPr="00CB7B73" w:rsidRDefault="00B0001B" w:rsidP="005E6A37">
      <w:pPr>
        <w:rPr>
          <w:rFonts w:cs="Arial"/>
        </w:rPr>
      </w:pPr>
    </w:p>
    <w:p w14:paraId="7CFFABD2" w14:textId="77777777" w:rsidR="009A3C02" w:rsidRPr="00CB7B73" w:rsidRDefault="009A3C02" w:rsidP="009A3C02">
      <w:pPr>
        <w:shd w:val="clear" w:color="auto" w:fill="FFFFFF"/>
        <w:spacing w:before="100" w:beforeAutospacing="1" w:after="120" w:line="240" w:lineRule="auto"/>
        <w:ind w:left="993" w:firstLine="720"/>
        <w:rPr>
          <w:rFonts w:eastAsia="Times New Roman" w:cs="Arial"/>
          <w:color w:val="464646"/>
          <w:kern w:val="0"/>
          <w:sz w:val="22"/>
          <w:szCs w:val="22"/>
          <w:lang w:val="en-AU" w:eastAsia="en-AU"/>
        </w:rPr>
      </w:pPr>
      <w:r w:rsidRPr="00CB7B73">
        <w:rPr>
          <w:rFonts w:eastAsia="Times New Roman" w:cs="Arial"/>
          <w:noProof/>
          <w:color w:val="464646"/>
          <w:kern w:val="0"/>
          <w:sz w:val="22"/>
          <w:szCs w:val="22"/>
          <w:lang w:val="en-AU" w:eastAsia="en-AU"/>
        </w:rPr>
        <w:drawing>
          <wp:inline distT="0" distB="0" distL="0" distR="0" wp14:anchorId="028365B2" wp14:editId="05E10169">
            <wp:extent cx="1009650" cy="352425"/>
            <wp:effectExtent l="0" t="0" r="0" b="9525"/>
            <wp:docPr id="8" name="Picture 8" descr="A picture from Creative Commons showing the symbols applying for use of the document under licence covering copyright, credit given, non-commercial &amp; adapt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from Creative Commons showing the symbols applying for use of the document under licence covering copyright, credit given, non-commercial &amp; adaptation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352425"/>
                    </a:xfrm>
                    <a:prstGeom prst="rect">
                      <a:avLst/>
                    </a:prstGeom>
                    <a:noFill/>
                    <a:ln>
                      <a:noFill/>
                    </a:ln>
                  </pic:spPr>
                </pic:pic>
              </a:graphicData>
            </a:graphic>
          </wp:inline>
        </w:drawing>
      </w:r>
      <w:r w:rsidRPr="00CB7B73">
        <w:rPr>
          <w:rFonts w:eastAsia="Times New Roman" w:cs="Arial"/>
          <w:color w:val="464646"/>
          <w:kern w:val="0"/>
          <w:sz w:val="22"/>
          <w:szCs w:val="22"/>
          <w:lang w:val="en-AU" w:eastAsia="en-AU"/>
        </w:rPr>
        <w:tab/>
        <w:t xml:space="preserve">       </w:t>
      </w:r>
      <w:r w:rsidRPr="00CB7B73">
        <w:rPr>
          <w:rFonts w:eastAsia="Times New Roman" w:cs="Arial"/>
          <w:noProof/>
          <w:color w:val="464646"/>
          <w:kern w:val="0"/>
          <w:sz w:val="22"/>
          <w:szCs w:val="22"/>
          <w:lang w:val="en-AU" w:eastAsia="en-AU"/>
        </w:rPr>
        <w:drawing>
          <wp:inline distT="0" distB="0" distL="0" distR="0" wp14:anchorId="23FFBEEA" wp14:editId="254BD019">
            <wp:extent cx="438150" cy="438150"/>
            <wp:effectExtent l="0" t="0" r="0" b="0"/>
            <wp:docPr id="1383098973" name="Graphic 1" descr="Badge Copy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98973" name="Graphic 1383098973" descr="Badge Copyrigh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8150" cy="438150"/>
                    </a:xfrm>
                    <a:prstGeom prst="rect">
                      <a:avLst/>
                    </a:prstGeom>
                  </pic:spPr>
                </pic:pic>
              </a:graphicData>
            </a:graphic>
          </wp:inline>
        </w:drawing>
      </w:r>
      <w:r w:rsidRPr="00CB7B73">
        <w:rPr>
          <w:rFonts w:eastAsia="Times New Roman" w:cs="Arial"/>
          <w:color w:val="464646"/>
          <w:kern w:val="0"/>
          <w:sz w:val="22"/>
          <w:szCs w:val="22"/>
          <w:lang w:val="en-AU" w:eastAsia="en-AU"/>
        </w:rPr>
        <w:t xml:space="preserve">  </w:t>
      </w:r>
      <w:r w:rsidRPr="00CB7B73">
        <w:rPr>
          <w:rFonts w:eastAsia="Times New Roman" w:cs="Arial"/>
          <w:b/>
          <w:bCs/>
          <w:color w:val="464646"/>
          <w:kern w:val="0"/>
          <w:sz w:val="22"/>
          <w:szCs w:val="22"/>
          <w:lang w:val="en-AU" w:eastAsia="en-AU"/>
        </w:rPr>
        <w:t>AFDO Ltd. 2024</w:t>
      </w:r>
    </w:p>
    <w:p w14:paraId="776F8C06" w14:textId="77777777" w:rsidR="009A3C02" w:rsidRPr="00CB7B73" w:rsidRDefault="008A13FE" w:rsidP="000442E2">
      <w:pPr>
        <w:numPr>
          <w:ilvl w:val="0"/>
          <w:numId w:val="4"/>
        </w:numPr>
        <w:shd w:val="clear" w:color="auto" w:fill="FFFFFF"/>
        <w:spacing w:before="100" w:beforeAutospacing="1" w:after="120" w:line="240" w:lineRule="auto"/>
        <w:ind w:left="993"/>
        <w:rPr>
          <w:rFonts w:eastAsia="Times New Roman" w:cs="Arial"/>
          <w:color w:val="464646"/>
          <w:kern w:val="0"/>
          <w:sz w:val="22"/>
          <w:szCs w:val="22"/>
          <w:lang w:val="en-AU" w:eastAsia="en-AU"/>
        </w:rPr>
      </w:pPr>
      <w:hyperlink r:id="rId15" w:history="1">
        <w:r w:rsidR="009A3C02" w:rsidRPr="00CB7B73">
          <w:rPr>
            <w:rFonts w:eastAsia="Times New Roman" w:cs="Arial"/>
            <w:b/>
            <w:bCs/>
            <w:color w:val="049CCF"/>
            <w:kern w:val="0"/>
            <w:sz w:val="22"/>
            <w:szCs w:val="22"/>
            <w:u w:val="single"/>
            <w:lang w:val="en-AU" w:eastAsia="en-AU"/>
          </w:rPr>
          <w:t>CC BY-NC-SA</w:t>
        </w:r>
      </w:hyperlink>
      <w:r w:rsidR="009A3C02" w:rsidRPr="00CB7B73">
        <w:rPr>
          <w:rFonts w:eastAsia="Times New Roman" w:cs="Arial"/>
          <w:color w:val="464646"/>
          <w:kern w:val="0"/>
          <w:sz w:val="22"/>
          <w:szCs w:val="22"/>
          <w:lang w:val="en-AU" w:eastAsia="en-AU"/>
        </w:rPr>
        <w:t>: AFDO provides materials it has developed under a Creative Commons Licence.</w:t>
      </w:r>
    </w:p>
    <w:p w14:paraId="0D5BC263" w14:textId="77777777" w:rsidR="009A3C02" w:rsidRPr="00CB7B73" w:rsidRDefault="009A3C02" w:rsidP="000442E2">
      <w:pPr>
        <w:numPr>
          <w:ilvl w:val="0"/>
          <w:numId w:val="4"/>
        </w:numPr>
        <w:shd w:val="clear" w:color="auto" w:fill="FFFFFF"/>
        <w:spacing w:before="100" w:beforeAutospacing="1" w:after="120" w:line="240" w:lineRule="auto"/>
        <w:ind w:left="993"/>
        <w:rPr>
          <w:rFonts w:eastAsia="Times New Roman" w:cs="Arial"/>
          <w:color w:val="464646"/>
          <w:kern w:val="0"/>
          <w:sz w:val="22"/>
          <w:szCs w:val="22"/>
          <w:lang w:val="en-AU" w:eastAsia="en-AU"/>
        </w:rPr>
      </w:pPr>
      <w:r w:rsidRPr="00CB7B73">
        <w:rPr>
          <w:rFonts w:eastAsia="Times New Roman" w:cs="Arial"/>
          <w:color w:val="464646"/>
          <w:kern w:val="0"/>
          <w:sz w:val="22"/>
          <w:szCs w:val="22"/>
          <w:lang w:val="en-AU" w:eastAsia="en-AU"/>
        </w:rPr>
        <w:t>This license allows reusers to distribute, remix, adapt, and build upon the material in any medium or format for non-commercial purposes only, and only so long as attribution is given to the creator (AFDO). If you remix, adapt, or build upon the material, you must license the modified material under identical terms. </w:t>
      </w:r>
      <w:r w:rsidRPr="00CB7B73">
        <w:rPr>
          <w:rFonts w:eastAsia="Times New Roman" w:cs="Arial"/>
          <w:color w:val="464646"/>
          <w:kern w:val="0"/>
          <w:sz w:val="22"/>
          <w:szCs w:val="22"/>
          <w:lang w:val="en-AU" w:eastAsia="en-AU"/>
        </w:rPr>
        <w:tab/>
      </w:r>
    </w:p>
    <w:p w14:paraId="47FF0655" w14:textId="281C5B70" w:rsidR="005E6A37" w:rsidRPr="009F688B" w:rsidRDefault="009A3C02" w:rsidP="009F688B">
      <w:pPr>
        <w:shd w:val="clear" w:color="auto" w:fill="FFFFFF"/>
        <w:spacing w:after="420" w:line="240" w:lineRule="auto"/>
        <w:ind w:left="993"/>
        <w:rPr>
          <w:rFonts w:eastAsia="Times New Roman" w:cs="Arial"/>
          <w:color w:val="464646"/>
          <w:kern w:val="0"/>
          <w:sz w:val="22"/>
          <w:szCs w:val="22"/>
          <w:lang w:val="en-AU" w:eastAsia="en-AU"/>
        </w:rPr>
      </w:pPr>
      <w:r w:rsidRPr="00CB7B73">
        <w:rPr>
          <w:rFonts w:eastAsia="Times New Roman" w:cs="Arial"/>
          <w:color w:val="464646"/>
          <w:kern w:val="0"/>
          <w:sz w:val="22"/>
          <w:szCs w:val="22"/>
          <w:lang w:val="en-AU" w:eastAsia="en-AU"/>
        </w:rPr>
        <w:t>CC BY-NC-SA includes the following elements:</w:t>
      </w:r>
      <w:r w:rsidRPr="00CB7B73">
        <w:rPr>
          <w:rFonts w:eastAsia="Times New Roman" w:cs="Arial"/>
          <w:color w:val="464646"/>
          <w:kern w:val="0"/>
          <w:sz w:val="22"/>
          <w:szCs w:val="22"/>
          <w:lang w:val="en-AU" w:eastAsia="en-AU"/>
        </w:rPr>
        <w:br/>
        <w:t>BY </w:t>
      </w:r>
      <w:r w:rsidRPr="00CB7B73">
        <w:rPr>
          <w:rFonts w:eastAsia="Times New Roman" w:cs="Arial"/>
          <w:noProof/>
          <w:color w:val="464646"/>
          <w:kern w:val="0"/>
          <w:sz w:val="22"/>
          <w:szCs w:val="22"/>
          <w:lang w:val="en-AU" w:eastAsia="en-AU"/>
        </w:rPr>
        <w:drawing>
          <wp:inline distT="0" distB="0" distL="0" distR="0" wp14:anchorId="687B030B" wp14:editId="5230A8C8">
            <wp:extent cx="285750" cy="285750"/>
            <wp:effectExtent l="0" t="0" r="0" b="0"/>
            <wp:docPr id="6" name="Picture 6" descr="Icon for credit to creato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for credit to creator&#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B7B73">
        <w:rPr>
          <w:rFonts w:eastAsia="Times New Roman" w:cs="Arial"/>
          <w:color w:val="464646"/>
          <w:kern w:val="0"/>
          <w:sz w:val="22"/>
          <w:szCs w:val="22"/>
          <w:lang w:val="en-AU" w:eastAsia="en-AU"/>
        </w:rPr>
        <w:t> – Credit must be given to the creator</w:t>
      </w:r>
      <w:r w:rsidRPr="00CB7B73">
        <w:rPr>
          <w:rFonts w:eastAsia="Times New Roman" w:cs="Arial"/>
          <w:color w:val="464646"/>
          <w:kern w:val="0"/>
          <w:sz w:val="22"/>
          <w:szCs w:val="22"/>
          <w:lang w:val="en-AU" w:eastAsia="en-AU"/>
        </w:rPr>
        <w:br/>
        <w:t>NC </w:t>
      </w:r>
      <w:r w:rsidRPr="00CB7B73">
        <w:rPr>
          <w:rFonts w:eastAsia="Times New Roman" w:cs="Arial"/>
          <w:noProof/>
          <w:color w:val="464646"/>
          <w:kern w:val="0"/>
          <w:sz w:val="22"/>
          <w:szCs w:val="22"/>
          <w:lang w:val="en-AU" w:eastAsia="en-AU"/>
        </w:rPr>
        <w:drawing>
          <wp:inline distT="0" distB="0" distL="0" distR="0" wp14:anchorId="2FC7D27B" wp14:editId="1FE279A6">
            <wp:extent cx="285750" cy="285750"/>
            <wp:effectExtent l="0" t="0" r="0" b="0"/>
            <wp:docPr id="2" name="Picture 2" descr="Icon for non-commerci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for non-commercial 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B7B73">
        <w:rPr>
          <w:rFonts w:eastAsia="Times New Roman" w:cs="Arial"/>
          <w:color w:val="464646"/>
          <w:kern w:val="0"/>
          <w:sz w:val="22"/>
          <w:szCs w:val="22"/>
          <w:lang w:val="en-AU" w:eastAsia="en-AU"/>
        </w:rPr>
        <w:t> – Only non-commercial uses of the work are permitted</w:t>
      </w:r>
      <w:r w:rsidRPr="00CB7B73">
        <w:rPr>
          <w:rFonts w:eastAsia="Times New Roman" w:cs="Arial"/>
          <w:color w:val="464646"/>
          <w:kern w:val="0"/>
          <w:sz w:val="22"/>
          <w:szCs w:val="22"/>
          <w:lang w:val="en-AU" w:eastAsia="en-AU"/>
        </w:rPr>
        <w:br/>
        <w:t>SA </w:t>
      </w:r>
      <w:r w:rsidRPr="00CB7B73">
        <w:rPr>
          <w:rFonts w:eastAsia="Times New Roman" w:cs="Arial"/>
          <w:noProof/>
          <w:color w:val="464646"/>
          <w:kern w:val="0"/>
          <w:sz w:val="22"/>
          <w:szCs w:val="22"/>
          <w:lang w:val="en-AU" w:eastAsia="en-AU"/>
        </w:rPr>
        <w:drawing>
          <wp:inline distT="0" distB="0" distL="0" distR="0" wp14:anchorId="4E619B4A" wp14:editId="118F3263">
            <wp:extent cx="295275" cy="295275"/>
            <wp:effectExtent l="0" t="0" r="9525" b="9525"/>
            <wp:docPr id="695966825" name="Picture 695966825" descr="Icon for adaptations shared under sam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for adaptations shared under same term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B7B73">
        <w:rPr>
          <w:rFonts w:eastAsia="Times New Roman" w:cs="Arial"/>
          <w:color w:val="464646"/>
          <w:kern w:val="0"/>
          <w:sz w:val="22"/>
          <w:szCs w:val="22"/>
          <w:lang w:val="en-AU" w:eastAsia="en-AU"/>
        </w:rPr>
        <w:t> – Adaptations must be shared under the same terms</w:t>
      </w:r>
    </w:p>
    <w:p w14:paraId="378D8B7E" w14:textId="6E5B473E" w:rsidR="00B91CD5" w:rsidRPr="00220108" w:rsidRDefault="00162A08" w:rsidP="003C4DF8">
      <w:pPr>
        <w:pStyle w:val="Heading2"/>
        <w:rPr>
          <w:rFonts w:eastAsia="Arial" w:cs="Arial"/>
          <w:sz w:val="32"/>
          <w:szCs w:val="32"/>
        </w:rPr>
      </w:pPr>
      <w:r w:rsidRPr="00220108">
        <w:rPr>
          <w:rFonts w:eastAsia="Cambria" w:cs="Arial"/>
          <w:b w:val="0"/>
          <w:bCs w:val="0"/>
          <w:smallCaps/>
          <w:color w:val="auto"/>
          <w:kern w:val="24"/>
          <w:sz w:val="24"/>
          <w:szCs w:val="24"/>
          <w:lang w:val="en-US"/>
        </w:rPr>
        <w:lastRenderedPageBreak/>
        <w:fldChar w:fldCharType="end"/>
      </w:r>
      <w:bookmarkStart w:id="6" w:name="_Toc160828855"/>
      <w:r w:rsidR="00B91CD5" w:rsidRPr="00220108">
        <w:rPr>
          <w:rStyle w:val="normaltextrun"/>
          <w:rFonts w:eastAsia="Arial" w:cs="Arial"/>
          <w:sz w:val="32"/>
          <w:szCs w:val="32"/>
        </w:rPr>
        <w:t xml:space="preserve">About </w:t>
      </w:r>
      <w:r w:rsidR="00AB7085" w:rsidRPr="00220108">
        <w:rPr>
          <w:rStyle w:val="normaltextrun"/>
          <w:rFonts w:eastAsia="Arial" w:cs="Arial"/>
          <w:sz w:val="32"/>
          <w:szCs w:val="32"/>
        </w:rPr>
        <w:t>AFDO</w:t>
      </w:r>
      <w:bookmarkEnd w:id="5"/>
      <w:bookmarkEnd w:id="6"/>
      <w:r w:rsidR="00B91CD5" w:rsidRPr="00220108">
        <w:rPr>
          <w:rStyle w:val="normaltextrun"/>
          <w:rFonts w:eastAsia="Arial" w:cs="Arial"/>
          <w:sz w:val="32"/>
          <w:szCs w:val="32"/>
        </w:rPr>
        <w:t xml:space="preserve"> </w:t>
      </w:r>
    </w:p>
    <w:p w14:paraId="663428E9" w14:textId="77777777" w:rsidR="00BA711E" w:rsidRDefault="00BA711E" w:rsidP="00BA711E">
      <w:pPr>
        <w:pStyle w:val="paragraph"/>
        <w:spacing w:after="120"/>
        <w:textAlignment w:val="baseline"/>
        <w:rPr>
          <w:rFonts w:ascii="Arial" w:eastAsiaTheme="minorHAnsi" w:hAnsi="Arial" w:cs="Arial"/>
          <w:lang w:eastAsia="zh-CN"/>
        </w:rPr>
      </w:pPr>
      <w:r w:rsidRPr="009B0FA1">
        <w:rPr>
          <w:rFonts w:ascii="Arial" w:eastAsiaTheme="minorHAnsi" w:hAnsi="Arial" w:cs="Arial"/>
          <w:lang w:eastAsia="zh-CN"/>
        </w:rPr>
        <w:t xml:space="preserve">The Australian Federation of Disability Organisations (AFDO) is a Disabled People’s Organisation (DPO) run by and for people with disability, reaching over 4 million Australians. </w:t>
      </w:r>
    </w:p>
    <w:p w14:paraId="7A1251A6" w14:textId="77777777" w:rsidR="00BA711E" w:rsidRPr="009B0FA1" w:rsidRDefault="00BA711E" w:rsidP="00BA711E">
      <w:pPr>
        <w:pStyle w:val="paragraph"/>
        <w:spacing w:after="120"/>
        <w:textAlignment w:val="baseline"/>
        <w:rPr>
          <w:rFonts w:ascii="Arial" w:eastAsiaTheme="minorHAnsi" w:hAnsi="Arial" w:cs="Arial"/>
          <w:lang w:eastAsia="zh-CN"/>
        </w:rPr>
      </w:pPr>
      <w:r w:rsidRPr="009B0FA1">
        <w:rPr>
          <w:rFonts w:ascii="Arial" w:eastAsiaTheme="minorHAnsi" w:hAnsi="Arial" w:cs="Arial"/>
          <w:lang w:eastAsia="zh-CN"/>
        </w:rPr>
        <w:t xml:space="preserve">We are a </w:t>
      </w:r>
      <w:r>
        <w:rPr>
          <w:rFonts w:ascii="Arial" w:eastAsiaTheme="minorHAnsi" w:hAnsi="Arial" w:cs="Arial"/>
          <w:lang w:eastAsia="zh-CN"/>
        </w:rPr>
        <w:t xml:space="preserve">unique </w:t>
      </w:r>
      <w:r w:rsidRPr="009B0FA1">
        <w:rPr>
          <w:rFonts w:ascii="Arial" w:eastAsiaTheme="minorHAnsi" w:hAnsi="Arial" w:cs="Arial"/>
          <w:lang w:eastAsia="zh-CN"/>
        </w:rPr>
        <w:t xml:space="preserve">representative organisation </w:t>
      </w:r>
      <w:r>
        <w:rPr>
          <w:rFonts w:ascii="Arial" w:eastAsiaTheme="minorHAnsi" w:hAnsi="Arial" w:cs="Arial"/>
          <w:lang w:eastAsia="zh-CN"/>
        </w:rPr>
        <w:t xml:space="preserve">covering both disability specific and population-based disability </w:t>
      </w:r>
      <w:r w:rsidRPr="009B0FA1">
        <w:rPr>
          <w:rFonts w:ascii="Arial" w:eastAsiaTheme="minorHAnsi" w:hAnsi="Arial" w:cs="Arial"/>
          <w:lang w:eastAsia="zh-CN"/>
        </w:rPr>
        <w:t xml:space="preserve">communities and the pre-eminent national voice representing people with disability across Australia and internationally. </w:t>
      </w:r>
    </w:p>
    <w:p w14:paraId="2BD359CC" w14:textId="77777777" w:rsidR="00BA711E" w:rsidRDefault="00BA711E" w:rsidP="00BA711E">
      <w:pPr>
        <w:pStyle w:val="paragraph"/>
        <w:spacing w:before="0" w:beforeAutospacing="0" w:after="120" w:afterAutospacing="0" w:line="276" w:lineRule="auto"/>
        <w:textAlignment w:val="baseline"/>
        <w:rPr>
          <w:rFonts w:ascii="Arial" w:eastAsiaTheme="minorHAnsi" w:hAnsi="Arial" w:cs="Arial"/>
          <w:lang w:eastAsia="zh-CN"/>
        </w:rPr>
      </w:pPr>
      <w:r w:rsidRPr="009B0FA1">
        <w:rPr>
          <w:rFonts w:ascii="Arial" w:eastAsiaTheme="minorHAnsi" w:hAnsi="Arial" w:cs="Arial"/>
          <w:lang w:eastAsia="zh-CN"/>
        </w:rPr>
        <w:t xml:space="preserve">Our Members are </w:t>
      </w:r>
      <w:r>
        <w:rPr>
          <w:rFonts w:ascii="Arial" w:eastAsiaTheme="minorHAnsi" w:hAnsi="Arial" w:cs="Arial"/>
          <w:lang w:eastAsia="zh-CN"/>
        </w:rPr>
        <w:t xml:space="preserve">37 </w:t>
      </w:r>
      <w:r w:rsidRPr="009B0FA1">
        <w:rPr>
          <w:rFonts w:ascii="Arial" w:eastAsiaTheme="minorHAnsi" w:hAnsi="Arial" w:cs="Arial"/>
          <w:lang w:eastAsia="zh-CN"/>
        </w:rPr>
        <w:t xml:space="preserve">national and state disability advocacy organisations run by and for people with disability and their families, representing Australians with disability. </w:t>
      </w:r>
    </w:p>
    <w:p w14:paraId="6628B0C3" w14:textId="77777777" w:rsidR="00BA711E" w:rsidRDefault="00BA711E" w:rsidP="00BA711E">
      <w:pPr>
        <w:pStyle w:val="paragraph"/>
        <w:spacing w:before="0" w:beforeAutospacing="0" w:after="120" w:afterAutospacing="0" w:line="276" w:lineRule="auto"/>
        <w:textAlignment w:val="baseline"/>
        <w:rPr>
          <w:rStyle w:val="eop"/>
          <w:rFonts w:ascii="Arial" w:eastAsia="Arial" w:hAnsi="Arial" w:cs="Arial"/>
        </w:rPr>
      </w:pPr>
      <w:r w:rsidRPr="009B0FA1">
        <w:rPr>
          <w:rFonts w:ascii="Arial" w:eastAsiaTheme="minorHAnsi" w:hAnsi="Arial" w:cs="Arial"/>
          <w:lang w:eastAsia="zh-CN"/>
        </w:rPr>
        <w:t xml:space="preserve">Our vision is </w:t>
      </w:r>
      <w:r>
        <w:rPr>
          <w:rFonts w:ascii="Arial" w:eastAsiaTheme="minorHAnsi" w:hAnsi="Arial" w:cs="Arial"/>
          <w:lang w:eastAsia="zh-CN"/>
        </w:rPr>
        <w:t>“</w:t>
      </w:r>
      <w:r w:rsidRPr="00220108">
        <w:rPr>
          <w:rStyle w:val="eop"/>
          <w:rFonts w:ascii="Arial" w:eastAsia="Arial" w:hAnsi="Arial" w:cs="Arial"/>
        </w:rPr>
        <w:t>T</w:t>
      </w:r>
      <w:r w:rsidRPr="00220108">
        <w:rPr>
          <w:rStyle w:val="normaltextrun"/>
          <w:rFonts w:ascii="Arial" w:eastAsia="Arial" w:hAnsi="Arial" w:cs="Arial"/>
          <w:lang w:val="en-US"/>
        </w:rPr>
        <w:t>hat all people with disabilities must be involved equally in all aspects of social, economic, political and cultural life.</w:t>
      </w:r>
      <w:r>
        <w:rPr>
          <w:rStyle w:val="normaltextrun"/>
          <w:rFonts w:ascii="Arial" w:eastAsia="Arial" w:hAnsi="Arial" w:cs="Arial"/>
          <w:lang w:val="en-US"/>
        </w:rPr>
        <w:t>”</w:t>
      </w:r>
      <w:r w:rsidRPr="00220108">
        <w:rPr>
          <w:rStyle w:val="eop"/>
          <w:rFonts w:ascii="Arial" w:eastAsia="Arial" w:hAnsi="Arial" w:cs="Arial"/>
        </w:rPr>
        <w:t> </w:t>
      </w:r>
    </w:p>
    <w:p w14:paraId="421217E2" w14:textId="77777777" w:rsidR="00BA711E" w:rsidRPr="007B624F" w:rsidRDefault="00BA711E" w:rsidP="00BA711E">
      <w:pPr>
        <w:pStyle w:val="paragraph"/>
        <w:spacing w:before="0" w:beforeAutospacing="0" w:after="120" w:afterAutospacing="0" w:line="276" w:lineRule="auto"/>
        <w:textAlignment w:val="baseline"/>
        <w:rPr>
          <w:rStyle w:val="eop"/>
          <w:rFonts w:ascii="Arial" w:eastAsiaTheme="minorHAnsi" w:hAnsi="Arial" w:cs="Arial"/>
          <w:lang w:eastAsia="zh-CN"/>
        </w:rPr>
      </w:pPr>
    </w:p>
    <w:p w14:paraId="4B2B1A48" w14:textId="77777777" w:rsidR="00BA711E" w:rsidRPr="00F7541F" w:rsidRDefault="008A13FE" w:rsidP="00BA711E">
      <w:pPr>
        <w:pStyle w:val="paragraph"/>
        <w:spacing w:before="0" w:beforeAutospacing="0" w:after="120" w:afterAutospacing="0" w:line="276" w:lineRule="auto"/>
        <w:textAlignment w:val="baseline"/>
        <w:rPr>
          <w:rStyle w:val="normaltextrun"/>
          <w:rFonts w:ascii="Arial" w:eastAsia="Arial" w:hAnsi="Arial" w:cs="Arial"/>
          <w:b/>
          <w:bCs/>
          <w:lang w:val="en-US"/>
        </w:rPr>
      </w:pPr>
      <w:hyperlink r:id="rId19" w:history="1">
        <w:r w:rsidR="00BA711E" w:rsidRPr="00A53974">
          <w:rPr>
            <w:rStyle w:val="Hyperlink"/>
            <w:rFonts w:ascii="Arial" w:eastAsia="Arial" w:hAnsi="Arial" w:cs="Arial"/>
            <w:b/>
            <w:bCs/>
            <w:lang w:val="en-US"/>
          </w:rPr>
          <w:t>Our Members:</w:t>
        </w:r>
      </w:hyperlink>
    </w:p>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107"/>
      </w:tblGrid>
      <w:tr w:rsidR="00BA711E" w:rsidRPr="00F7541F" w14:paraId="20AA962E" w14:textId="77777777" w:rsidTr="00F11E6A">
        <w:tc>
          <w:tcPr>
            <w:tcW w:w="4811" w:type="dxa"/>
          </w:tcPr>
          <w:p w14:paraId="4F9C2C8C"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Advocacy for Inclusion Inc. - ACT</w:t>
            </w:r>
          </w:p>
        </w:tc>
        <w:tc>
          <w:tcPr>
            <w:tcW w:w="5107" w:type="dxa"/>
          </w:tcPr>
          <w:p w14:paraId="3565E262"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Arts Access Australia</w:t>
            </w:r>
            <w:r w:rsidRPr="00E211D7">
              <w:rPr>
                <w:rStyle w:val="eop"/>
                <w:rFonts w:ascii="Arial" w:eastAsia="Arial" w:hAnsi="Arial" w:cs="Arial"/>
                <w:sz w:val="22"/>
                <w:szCs w:val="22"/>
              </w:rPr>
              <w:t> </w:t>
            </w:r>
          </w:p>
        </w:tc>
      </w:tr>
      <w:tr w:rsidR="00BA711E" w:rsidRPr="00F7541F" w14:paraId="039240EC" w14:textId="77777777" w:rsidTr="00F11E6A">
        <w:tc>
          <w:tcPr>
            <w:tcW w:w="4811" w:type="dxa"/>
          </w:tcPr>
          <w:p w14:paraId="4B502E9D"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Autism Aspergers Advocacy Australia</w:t>
            </w:r>
          </w:p>
        </w:tc>
        <w:tc>
          <w:tcPr>
            <w:tcW w:w="5107" w:type="dxa"/>
          </w:tcPr>
          <w:p w14:paraId="5E1916F3"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Blind Citizens Australia</w:t>
            </w:r>
            <w:r w:rsidRPr="00E211D7">
              <w:rPr>
                <w:rStyle w:val="eop"/>
                <w:rFonts w:ascii="Arial" w:eastAsia="Arial" w:hAnsi="Arial" w:cs="Arial"/>
                <w:sz w:val="22"/>
                <w:szCs w:val="22"/>
              </w:rPr>
              <w:t> </w:t>
            </w:r>
          </w:p>
        </w:tc>
      </w:tr>
      <w:tr w:rsidR="00BA711E" w:rsidRPr="00F7541F" w14:paraId="5DA4F2F1" w14:textId="77777777" w:rsidTr="00F11E6A">
        <w:tc>
          <w:tcPr>
            <w:tcW w:w="4811" w:type="dxa"/>
          </w:tcPr>
          <w:p w14:paraId="1CD14CA4"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Brain Injury Australia</w:t>
            </w:r>
          </w:p>
        </w:tc>
        <w:tc>
          <w:tcPr>
            <w:tcW w:w="5107" w:type="dxa"/>
          </w:tcPr>
          <w:p w14:paraId="2475FE2E"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 Australia</w:t>
            </w:r>
            <w:r w:rsidRPr="00E211D7">
              <w:rPr>
                <w:rStyle w:val="eop"/>
                <w:rFonts w:ascii="Arial" w:eastAsia="Arial" w:hAnsi="Arial" w:cs="Arial"/>
                <w:sz w:val="22"/>
                <w:szCs w:val="22"/>
              </w:rPr>
              <w:t> </w:t>
            </w:r>
          </w:p>
        </w:tc>
      </w:tr>
      <w:tr w:rsidR="00BA711E" w:rsidRPr="00F7541F" w14:paraId="6B1DDAB4" w14:textId="77777777" w:rsidTr="00F11E6A">
        <w:tc>
          <w:tcPr>
            <w:tcW w:w="4811" w:type="dxa"/>
          </w:tcPr>
          <w:p w14:paraId="1C08E54A"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Deafblind Australia</w:t>
            </w:r>
          </w:p>
        </w:tc>
        <w:tc>
          <w:tcPr>
            <w:tcW w:w="5107" w:type="dxa"/>
          </w:tcPr>
          <w:p w14:paraId="1C510447"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Deafness Forum Australia</w:t>
            </w:r>
            <w:r w:rsidRPr="00E211D7">
              <w:rPr>
                <w:rStyle w:val="eop"/>
                <w:rFonts w:ascii="Arial" w:eastAsia="Arial" w:hAnsi="Arial" w:cs="Arial"/>
                <w:sz w:val="22"/>
                <w:szCs w:val="22"/>
              </w:rPr>
              <w:t> </w:t>
            </w:r>
          </w:p>
        </w:tc>
      </w:tr>
      <w:tr w:rsidR="00BA711E" w:rsidRPr="00F7541F" w14:paraId="21D7A5CB" w14:textId="77777777" w:rsidTr="00F11E6A">
        <w:tc>
          <w:tcPr>
            <w:tcW w:w="4811" w:type="dxa"/>
          </w:tcPr>
          <w:p w14:paraId="735C0D18"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Advocacy Network Australia</w:t>
            </w:r>
          </w:p>
        </w:tc>
        <w:tc>
          <w:tcPr>
            <w:tcW w:w="5107" w:type="dxa"/>
          </w:tcPr>
          <w:p w14:paraId="2D6F4C87"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Justice Australia </w:t>
            </w:r>
            <w:r w:rsidRPr="00E211D7">
              <w:rPr>
                <w:rStyle w:val="eop"/>
                <w:rFonts w:ascii="Arial" w:eastAsia="Arial" w:hAnsi="Arial" w:cs="Arial"/>
                <w:sz w:val="22"/>
                <w:szCs w:val="22"/>
              </w:rPr>
              <w:t> </w:t>
            </w:r>
          </w:p>
        </w:tc>
      </w:tr>
      <w:tr w:rsidR="00BA711E" w:rsidRPr="00F7541F" w14:paraId="7BBBE200" w14:textId="77777777" w:rsidTr="00F11E6A">
        <w:tc>
          <w:tcPr>
            <w:tcW w:w="4811" w:type="dxa"/>
          </w:tcPr>
          <w:p w14:paraId="690032E9"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Resources Centre - Vic</w:t>
            </w:r>
          </w:p>
        </w:tc>
        <w:tc>
          <w:tcPr>
            <w:tcW w:w="5107" w:type="dxa"/>
          </w:tcPr>
          <w:p w14:paraId="47AE1080"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Down Syndrome Australia</w:t>
            </w:r>
            <w:r w:rsidRPr="00E211D7">
              <w:rPr>
                <w:rStyle w:val="eop"/>
                <w:rFonts w:ascii="Arial" w:eastAsia="Arial" w:hAnsi="Arial" w:cs="Arial"/>
                <w:sz w:val="22"/>
                <w:szCs w:val="22"/>
              </w:rPr>
              <w:t> </w:t>
            </w:r>
          </w:p>
        </w:tc>
      </w:tr>
      <w:tr w:rsidR="00BA711E" w:rsidRPr="00F7541F" w14:paraId="0F08B768" w14:textId="77777777" w:rsidTr="00F11E6A">
        <w:tc>
          <w:tcPr>
            <w:tcW w:w="4811" w:type="dxa"/>
          </w:tcPr>
          <w:p w14:paraId="71DA2297"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Enhanced Lifestyles - SA</w:t>
            </w:r>
          </w:p>
        </w:tc>
        <w:tc>
          <w:tcPr>
            <w:tcW w:w="5107" w:type="dxa"/>
          </w:tcPr>
          <w:p w14:paraId="586E0027"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Physical Disability Australia</w:t>
            </w:r>
          </w:p>
        </w:tc>
      </w:tr>
      <w:tr w:rsidR="00BA711E" w:rsidRPr="00F7541F" w14:paraId="2986D43D" w14:textId="77777777" w:rsidTr="00F11E6A">
        <w:tc>
          <w:tcPr>
            <w:tcW w:w="4811" w:type="dxa"/>
          </w:tcPr>
          <w:p w14:paraId="5C70BF16"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People With Disabilities WA</w:t>
            </w:r>
          </w:p>
        </w:tc>
        <w:tc>
          <w:tcPr>
            <w:tcW w:w="5107" w:type="dxa"/>
          </w:tcPr>
          <w:p w14:paraId="6C5F9292"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Polio Australia</w:t>
            </w:r>
            <w:r w:rsidRPr="00E211D7">
              <w:rPr>
                <w:rStyle w:val="eop"/>
                <w:rFonts w:ascii="Arial" w:eastAsia="Arial" w:hAnsi="Arial" w:cs="Arial"/>
                <w:sz w:val="22"/>
                <w:szCs w:val="22"/>
              </w:rPr>
              <w:t> </w:t>
            </w:r>
          </w:p>
        </w:tc>
      </w:tr>
      <w:tr w:rsidR="00BA711E" w:rsidRPr="00F7541F" w14:paraId="652E158F" w14:textId="77777777" w:rsidTr="00F11E6A">
        <w:tc>
          <w:tcPr>
            <w:tcW w:w="4811" w:type="dxa"/>
          </w:tcPr>
          <w:p w14:paraId="348902E6"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roofErr w:type="gramStart"/>
            <w:r w:rsidRPr="00E211D7">
              <w:rPr>
                <w:rStyle w:val="normaltextrun"/>
                <w:rFonts w:ascii="Arial" w:eastAsia="Arial" w:hAnsi="Arial" w:cs="Arial"/>
                <w:sz w:val="22"/>
                <w:szCs w:val="22"/>
                <w:lang w:val="en-US"/>
              </w:rPr>
              <w:t>South West</w:t>
            </w:r>
            <w:proofErr w:type="gramEnd"/>
            <w:r w:rsidRPr="00E211D7">
              <w:rPr>
                <w:rStyle w:val="normaltextrun"/>
                <w:rFonts w:ascii="Arial" w:eastAsia="Arial" w:hAnsi="Arial" w:cs="Arial"/>
                <w:sz w:val="22"/>
                <w:szCs w:val="22"/>
                <w:lang w:val="en-US"/>
              </w:rPr>
              <w:t xml:space="preserve"> Autism Network - WA</w:t>
            </w:r>
          </w:p>
        </w:tc>
        <w:tc>
          <w:tcPr>
            <w:tcW w:w="5107" w:type="dxa"/>
          </w:tcPr>
          <w:p w14:paraId="07410A20"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Women With Disabilities ACT</w:t>
            </w:r>
          </w:p>
        </w:tc>
      </w:tr>
      <w:tr w:rsidR="00BA711E" w:rsidRPr="00F7541F" w14:paraId="5E75F1E1" w14:textId="77777777" w:rsidTr="00F11E6A">
        <w:tc>
          <w:tcPr>
            <w:tcW w:w="4811" w:type="dxa"/>
          </w:tcPr>
          <w:p w14:paraId="33FE0809"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Women with Disabilities Victoria</w:t>
            </w:r>
            <w:r w:rsidRPr="00E211D7">
              <w:rPr>
                <w:rStyle w:val="eop"/>
                <w:rFonts w:ascii="Arial" w:eastAsia="Arial" w:hAnsi="Arial" w:cs="Arial"/>
                <w:sz w:val="22"/>
                <w:szCs w:val="22"/>
              </w:rPr>
              <w:t> </w:t>
            </w:r>
          </w:p>
        </w:tc>
        <w:tc>
          <w:tcPr>
            <w:tcW w:w="5107" w:type="dxa"/>
          </w:tcPr>
          <w:p w14:paraId="33870920"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National Mental Health Consumer &amp; Carer Forum</w:t>
            </w:r>
            <w:r w:rsidRPr="00E211D7">
              <w:rPr>
                <w:rStyle w:val="eop"/>
                <w:rFonts w:ascii="Arial" w:eastAsia="Arial" w:hAnsi="Arial" w:cs="Arial"/>
                <w:sz w:val="22"/>
                <w:szCs w:val="22"/>
              </w:rPr>
              <w:t> </w:t>
            </w:r>
          </w:p>
        </w:tc>
      </w:tr>
      <w:tr w:rsidR="00BA711E" w:rsidRPr="00F7541F" w14:paraId="683FCBFF" w14:textId="77777777" w:rsidTr="00F11E6A">
        <w:tc>
          <w:tcPr>
            <w:tcW w:w="4811" w:type="dxa"/>
          </w:tcPr>
          <w:p w14:paraId="6DCD3C19"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Advocacy WA</w:t>
            </w:r>
          </w:p>
        </w:tc>
        <w:tc>
          <w:tcPr>
            <w:tcW w:w="5107" w:type="dxa"/>
          </w:tcPr>
          <w:p w14:paraId="7587727B"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All Means All</w:t>
            </w:r>
          </w:p>
        </w:tc>
      </w:tr>
      <w:tr w:rsidR="00BA711E" w:rsidRPr="00F7541F" w14:paraId="5EF75732" w14:textId="77777777" w:rsidTr="00F11E6A">
        <w:trPr>
          <w:trHeight w:val="321"/>
        </w:trPr>
        <w:tc>
          <w:tcPr>
            <w:tcW w:w="4811" w:type="dxa"/>
          </w:tcPr>
          <w:p w14:paraId="7281E474"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AED Legal Centre - Vic</w:t>
            </w:r>
          </w:p>
        </w:tc>
        <w:tc>
          <w:tcPr>
            <w:tcW w:w="5107" w:type="dxa"/>
          </w:tcPr>
          <w:p w14:paraId="7C2628C7"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AMAZE - Vic</w:t>
            </w:r>
          </w:p>
        </w:tc>
      </w:tr>
      <w:tr w:rsidR="00BA711E" w:rsidRPr="00F7541F" w14:paraId="578AD90C" w14:textId="77777777" w:rsidTr="00F11E6A">
        <w:tc>
          <w:tcPr>
            <w:tcW w:w="4811" w:type="dxa"/>
          </w:tcPr>
          <w:p w14:paraId="51D91193"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Arts Access Victoria</w:t>
            </w:r>
          </w:p>
        </w:tc>
        <w:tc>
          <w:tcPr>
            <w:tcW w:w="5107" w:type="dxa"/>
          </w:tcPr>
          <w:p w14:paraId="0F840A46"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Aspergers Victoria</w:t>
            </w:r>
          </w:p>
        </w:tc>
      </w:tr>
      <w:tr w:rsidR="00BA711E" w:rsidRPr="00F7541F" w14:paraId="44524AC2" w14:textId="77777777" w:rsidTr="00F11E6A">
        <w:tc>
          <w:tcPr>
            <w:tcW w:w="4811" w:type="dxa"/>
          </w:tcPr>
          <w:p w14:paraId="04B5955A"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Advocacy &amp; Complaints Service - SA</w:t>
            </w:r>
          </w:p>
        </w:tc>
        <w:tc>
          <w:tcPr>
            <w:tcW w:w="5107" w:type="dxa"/>
          </w:tcPr>
          <w:p w14:paraId="452F5811"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eastAsia="Arial" w:hAnsi="Arial" w:cs="Arial"/>
                <w:sz w:val="22"/>
                <w:szCs w:val="22"/>
                <w:lang w:val="en-US"/>
              </w:rPr>
              <w:t>Explorability Inc - SA</w:t>
            </w:r>
          </w:p>
        </w:tc>
      </w:tr>
      <w:tr w:rsidR="00BA711E" w:rsidRPr="00F7541F" w14:paraId="62EBAD91" w14:textId="77777777" w:rsidTr="00F11E6A">
        <w:trPr>
          <w:trHeight w:val="333"/>
        </w:trPr>
        <w:tc>
          <w:tcPr>
            <w:tcW w:w="4811" w:type="dxa"/>
          </w:tcPr>
          <w:p w14:paraId="240AD25D"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A544D1">
              <w:rPr>
                <w:rStyle w:val="normaltextrun"/>
                <w:rFonts w:ascii="Arial" w:hAnsi="Arial" w:cs="Arial"/>
                <w:sz w:val="22"/>
                <w:szCs w:val="22"/>
                <w:lang w:val="en-US"/>
              </w:rPr>
              <w:t xml:space="preserve">Integrated </w:t>
            </w:r>
            <w:proofErr w:type="spellStart"/>
            <w:r w:rsidRPr="00A544D1">
              <w:rPr>
                <w:rStyle w:val="normaltextrun"/>
                <w:rFonts w:ascii="Arial" w:hAnsi="Arial" w:cs="Arial"/>
                <w:sz w:val="22"/>
                <w:szCs w:val="22"/>
                <w:lang w:val="en-US"/>
              </w:rPr>
              <w:t>disAbility</w:t>
            </w:r>
            <w:proofErr w:type="spellEnd"/>
            <w:r w:rsidRPr="00A544D1">
              <w:rPr>
                <w:rStyle w:val="normaltextrun"/>
                <w:rFonts w:ascii="Arial" w:hAnsi="Arial" w:cs="Arial"/>
                <w:sz w:val="22"/>
                <w:szCs w:val="22"/>
                <w:lang w:val="en-US"/>
              </w:rPr>
              <w:t xml:space="preserve"> Action - NT</w:t>
            </w:r>
          </w:p>
        </w:tc>
        <w:tc>
          <w:tcPr>
            <w:tcW w:w="5107" w:type="dxa"/>
          </w:tcPr>
          <w:p w14:paraId="4E35041D" w14:textId="77777777" w:rsidR="00BA711E" w:rsidRPr="00E211D7" w:rsidRDefault="00BA711E" w:rsidP="00F11E6A">
            <w:pPr>
              <w:spacing w:after="0" w:line="240" w:lineRule="auto"/>
              <w:contextualSpacing/>
              <w:rPr>
                <w:rStyle w:val="normaltextrun"/>
                <w:rFonts w:cs="Arial"/>
                <w:sz w:val="22"/>
                <w:szCs w:val="22"/>
              </w:rPr>
            </w:pPr>
            <w:r w:rsidRPr="00E211D7">
              <w:rPr>
                <w:rFonts w:cs="Arial"/>
                <w:sz w:val="22"/>
                <w:szCs w:val="22"/>
              </w:rPr>
              <w:t xml:space="preserve">Leadership Plus </w:t>
            </w:r>
            <w:r>
              <w:rPr>
                <w:rFonts w:cs="Arial"/>
                <w:sz w:val="22"/>
                <w:szCs w:val="22"/>
              </w:rPr>
              <w:t>–</w:t>
            </w:r>
            <w:r w:rsidRPr="00E211D7">
              <w:rPr>
                <w:rFonts w:cs="Arial"/>
                <w:sz w:val="22"/>
                <w:szCs w:val="22"/>
              </w:rPr>
              <w:t xml:space="preserve"> Vic</w:t>
            </w:r>
          </w:p>
        </w:tc>
      </w:tr>
      <w:tr w:rsidR="00BA711E" w:rsidRPr="00F7541F" w14:paraId="3C808EF1" w14:textId="77777777" w:rsidTr="00F11E6A">
        <w:tc>
          <w:tcPr>
            <w:tcW w:w="4811" w:type="dxa"/>
          </w:tcPr>
          <w:p w14:paraId="066E7623" w14:textId="77777777" w:rsidR="00BA711E" w:rsidRPr="00A544D1" w:rsidRDefault="00BA711E" w:rsidP="00F11E6A">
            <w:pPr>
              <w:pStyle w:val="paragraph"/>
              <w:spacing w:before="0" w:beforeAutospacing="0" w:after="120" w:afterAutospacing="0" w:line="276" w:lineRule="auto"/>
              <w:textAlignment w:val="baseline"/>
              <w:rPr>
                <w:rStyle w:val="normaltextrun"/>
                <w:rFonts w:ascii="Arial" w:hAnsi="Arial" w:cs="Arial"/>
                <w:sz w:val="22"/>
                <w:szCs w:val="22"/>
                <w:lang w:val="en-US"/>
              </w:rPr>
            </w:pPr>
            <w:r w:rsidRPr="00E211D7">
              <w:rPr>
                <w:rStyle w:val="normaltextrun"/>
                <w:rFonts w:ascii="Arial" w:eastAsia="Arial" w:hAnsi="Arial" w:cs="Arial"/>
                <w:sz w:val="22"/>
                <w:szCs w:val="22"/>
                <w:lang w:val="en-US"/>
              </w:rPr>
              <w:t>Multiple Sclerosis Australia</w:t>
            </w:r>
          </w:p>
        </w:tc>
        <w:tc>
          <w:tcPr>
            <w:tcW w:w="5107" w:type="dxa"/>
          </w:tcPr>
          <w:p w14:paraId="56B6C3C0" w14:textId="77777777" w:rsidR="00BA711E" w:rsidRPr="00E211D7" w:rsidRDefault="00BA711E" w:rsidP="00F11E6A">
            <w:pPr>
              <w:spacing w:after="0" w:line="240" w:lineRule="auto"/>
              <w:contextualSpacing/>
              <w:rPr>
                <w:rFonts w:cs="Arial"/>
                <w:sz w:val="22"/>
                <w:szCs w:val="22"/>
              </w:rPr>
            </w:pPr>
            <w:r w:rsidRPr="00E211D7">
              <w:rPr>
                <w:rStyle w:val="normaltextrun"/>
                <w:rFonts w:eastAsia="Arial" w:cs="Arial"/>
                <w:sz w:val="22"/>
                <w:szCs w:val="22"/>
              </w:rPr>
              <w:t>National Union of Students - Disabilities Dept.</w:t>
            </w:r>
          </w:p>
        </w:tc>
      </w:tr>
      <w:tr w:rsidR="00BA711E" w:rsidRPr="00F7541F" w14:paraId="657D4BE6" w14:textId="77777777" w:rsidTr="00F11E6A">
        <w:tc>
          <w:tcPr>
            <w:tcW w:w="4811" w:type="dxa"/>
          </w:tcPr>
          <w:p w14:paraId="2AF8867F" w14:textId="77777777" w:rsidR="00BA711E" w:rsidRDefault="00BA711E" w:rsidP="00F11E6A">
            <w:pPr>
              <w:spacing w:after="0" w:line="240" w:lineRule="auto"/>
              <w:contextualSpacing/>
              <w:rPr>
                <w:rFonts w:cs="Arial"/>
                <w:sz w:val="22"/>
                <w:szCs w:val="22"/>
              </w:rPr>
            </w:pPr>
            <w:r w:rsidRPr="00E211D7">
              <w:rPr>
                <w:rFonts w:cs="Arial"/>
                <w:sz w:val="22"/>
                <w:szCs w:val="22"/>
              </w:rPr>
              <w:t>National Organisation for Fetal Alcohol Spectrum Disorder</w:t>
            </w:r>
          </w:p>
          <w:p w14:paraId="1B4C92E7" w14:textId="77777777" w:rsidR="00BA711E" w:rsidRPr="001F5F5C" w:rsidRDefault="00BA711E" w:rsidP="00F11E6A">
            <w:pPr>
              <w:spacing w:after="0" w:line="240" w:lineRule="auto"/>
              <w:contextualSpacing/>
              <w:rPr>
                <w:rStyle w:val="normaltextrun"/>
                <w:rFonts w:cs="Arial"/>
                <w:sz w:val="22"/>
                <w:szCs w:val="22"/>
              </w:rPr>
            </w:pPr>
          </w:p>
        </w:tc>
        <w:tc>
          <w:tcPr>
            <w:tcW w:w="5107" w:type="dxa"/>
          </w:tcPr>
          <w:p w14:paraId="63AC5672" w14:textId="77777777" w:rsidR="00BA711E" w:rsidRPr="00A975D6" w:rsidRDefault="00BA711E" w:rsidP="00F11E6A">
            <w:pPr>
              <w:spacing w:after="0" w:line="240" w:lineRule="auto"/>
              <w:contextualSpacing/>
              <w:rPr>
                <w:rStyle w:val="normaltextrun"/>
                <w:rFonts w:cs="Arial"/>
                <w:sz w:val="10"/>
                <w:szCs w:val="10"/>
              </w:rPr>
            </w:pPr>
            <w:r w:rsidRPr="00E211D7">
              <w:rPr>
                <w:rFonts w:cs="Arial"/>
                <w:sz w:val="22"/>
                <w:szCs w:val="22"/>
              </w:rPr>
              <w:t>Star Victoria Inc</w:t>
            </w:r>
          </w:p>
        </w:tc>
      </w:tr>
      <w:tr w:rsidR="00BA711E" w:rsidRPr="00F7541F" w14:paraId="50537DAF" w14:textId="77777777" w:rsidTr="00F11E6A">
        <w:tc>
          <w:tcPr>
            <w:tcW w:w="4811" w:type="dxa"/>
          </w:tcPr>
          <w:p w14:paraId="12D59365" w14:textId="77777777" w:rsidR="00BA711E" w:rsidRPr="00E211D7" w:rsidRDefault="00BA711E" w:rsidP="00F11E6A">
            <w:pPr>
              <w:spacing w:after="0" w:line="240" w:lineRule="auto"/>
              <w:contextualSpacing/>
              <w:rPr>
                <w:rFonts w:cs="Arial"/>
                <w:sz w:val="22"/>
                <w:szCs w:val="22"/>
              </w:rPr>
            </w:pPr>
            <w:r w:rsidRPr="00E211D7">
              <w:rPr>
                <w:rFonts w:cs="Arial"/>
                <w:sz w:val="22"/>
                <w:szCs w:val="22"/>
              </w:rPr>
              <w:t>TASC National Limited</w:t>
            </w:r>
            <w:r>
              <w:rPr>
                <w:rFonts w:cs="Arial"/>
                <w:sz w:val="22"/>
                <w:szCs w:val="22"/>
              </w:rPr>
              <w:t xml:space="preserve"> - Qld</w:t>
            </w:r>
          </w:p>
          <w:p w14:paraId="26843F31" w14:textId="77777777" w:rsidR="00BA711E" w:rsidRPr="00E211D7" w:rsidRDefault="00BA711E" w:rsidP="00F11E6A">
            <w:pPr>
              <w:spacing w:after="0" w:line="240" w:lineRule="auto"/>
              <w:contextualSpacing/>
              <w:rPr>
                <w:rStyle w:val="normaltextrun"/>
                <w:rFonts w:cs="Arial"/>
                <w:sz w:val="22"/>
                <w:szCs w:val="22"/>
              </w:rPr>
            </w:pPr>
          </w:p>
        </w:tc>
        <w:tc>
          <w:tcPr>
            <w:tcW w:w="5107" w:type="dxa"/>
          </w:tcPr>
          <w:p w14:paraId="3A7908CD" w14:textId="77777777" w:rsidR="00BA711E" w:rsidRPr="00E211D7" w:rsidRDefault="00BA711E" w:rsidP="00F11E6A">
            <w:pPr>
              <w:spacing w:after="0" w:line="240" w:lineRule="auto"/>
              <w:contextualSpacing/>
              <w:rPr>
                <w:rStyle w:val="normaltextrun"/>
                <w:rFonts w:cs="Arial"/>
                <w:sz w:val="22"/>
                <w:szCs w:val="22"/>
              </w:rPr>
            </w:pPr>
            <w:r w:rsidRPr="001F5F5C">
              <w:rPr>
                <w:rStyle w:val="normaltextrun"/>
                <w:rFonts w:cs="Arial"/>
                <w:sz w:val="22"/>
                <w:szCs w:val="22"/>
              </w:rPr>
              <w:t>Tourettes Syndrome of Australia</w:t>
            </w:r>
          </w:p>
        </w:tc>
      </w:tr>
      <w:tr w:rsidR="00BA711E" w:rsidRPr="00F7541F" w14:paraId="43B7384A" w14:textId="77777777" w:rsidTr="00F11E6A">
        <w:tc>
          <w:tcPr>
            <w:tcW w:w="4811" w:type="dxa"/>
          </w:tcPr>
          <w:p w14:paraId="2E097AEB"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hAnsi="Arial" w:cs="Arial"/>
                <w:sz w:val="22"/>
                <w:szCs w:val="22"/>
              </w:rPr>
              <w:t>Youth Disability Advocacy Service</w:t>
            </w:r>
            <w:r>
              <w:rPr>
                <w:rFonts w:ascii="Arial" w:hAnsi="Arial" w:cs="Arial"/>
                <w:sz w:val="22"/>
                <w:szCs w:val="22"/>
              </w:rPr>
              <w:t xml:space="preserve"> - Vic</w:t>
            </w:r>
          </w:p>
        </w:tc>
        <w:tc>
          <w:tcPr>
            <w:tcW w:w="5107" w:type="dxa"/>
          </w:tcPr>
          <w:p w14:paraId="3CBD42C4" w14:textId="77777777" w:rsidR="00BA711E" w:rsidRPr="00E211D7" w:rsidRDefault="00BA711E" w:rsidP="00F11E6A">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tc>
      </w:tr>
    </w:tbl>
    <w:p w14:paraId="2D6AE2FD"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328EC03D"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701685D8" w14:textId="0643E866" w:rsidR="00295C1F" w:rsidRPr="00295C1F" w:rsidRDefault="00295C1F" w:rsidP="00295C1F">
      <w:pPr>
        <w:pStyle w:val="Heading2"/>
        <w:rPr>
          <w:rFonts w:cs="Arial"/>
          <w:sz w:val="32"/>
          <w:szCs w:val="32"/>
        </w:rPr>
      </w:pPr>
      <w:bookmarkStart w:id="7" w:name="_Toc160828856"/>
      <w:r>
        <w:rPr>
          <w:rFonts w:cs="Arial"/>
          <w:sz w:val="32"/>
          <w:szCs w:val="32"/>
        </w:rPr>
        <w:lastRenderedPageBreak/>
        <w:t>Acknowledgement</w:t>
      </w:r>
      <w:bookmarkEnd w:id="7"/>
    </w:p>
    <w:p w14:paraId="4523EC01" w14:textId="7198B410" w:rsidR="00624E91" w:rsidRPr="00220108" w:rsidRDefault="00624E91" w:rsidP="002E63E3">
      <w:pPr>
        <w:spacing w:after="0"/>
        <w:jc w:val="both"/>
        <w:rPr>
          <w:rFonts w:eastAsia="Arial" w:cs="Arial"/>
        </w:rPr>
      </w:pPr>
      <w:r w:rsidRPr="00220108">
        <w:rPr>
          <w:rFonts w:eastAsia="Arial" w:cs="Arial"/>
        </w:rPr>
        <w:t>AFDO acknowledges Aboriginal and Torres Strait Islander people as the traditional custodians of the land on which we stand, recognising their continuing connection to land, waters, and community. We pay our respects to the peoples of the lands on which these operate and to their respective Elders past and present. We also pay our respects to the traditional owners of all lands on which we operate or meet around the country.</w:t>
      </w:r>
    </w:p>
    <w:p w14:paraId="0E21BF47" w14:textId="77777777" w:rsidR="00624E91" w:rsidRPr="00220108" w:rsidRDefault="00624E91" w:rsidP="00624E91">
      <w:pPr>
        <w:spacing w:after="0"/>
        <w:ind w:right="1088"/>
        <w:jc w:val="both"/>
        <w:rPr>
          <w:rFonts w:eastAsia="Arial" w:cs="Arial"/>
        </w:rPr>
      </w:pPr>
    </w:p>
    <w:p w14:paraId="44452668" w14:textId="16057C7D" w:rsidR="00624E91" w:rsidRPr="00220108" w:rsidRDefault="00624E91" w:rsidP="002E63E3">
      <w:pPr>
        <w:spacing w:after="0"/>
        <w:jc w:val="both"/>
        <w:rPr>
          <w:rFonts w:eastAsia="Arial" w:cs="Arial"/>
        </w:rPr>
      </w:pPr>
      <w:r w:rsidRPr="00220108">
        <w:rPr>
          <w:rFonts w:eastAsia="Arial" w:cs="Arial"/>
        </w:rPr>
        <w:t xml:space="preserve">AFDO acknowledges people with disability, particularly those individuals that have experienced or are continuing to experience violence, abuse, neglect, and exploitation. We also acknowledge their families, supporters, and representative organisations and express our thanks for the continuing work we all do in their </w:t>
      </w:r>
      <w:r w:rsidR="00DD5D72" w:rsidRPr="00220108">
        <w:rPr>
          <w:rFonts w:eastAsia="Arial" w:cs="Arial"/>
        </w:rPr>
        <w:t>support.</w:t>
      </w:r>
    </w:p>
    <w:p w14:paraId="50F9E736" w14:textId="0CF30B82" w:rsidR="009F6A9C" w:rsidRDefault="00B91CD5" w:rsidP="00225B27">
      <w:pPr>
        <w:pStyle w:val="Heading2"/>
        <w:numPr>
          <w:ilvl w:val="0"/>
          <w:numId w:val="5"/>
        </w:numPr>
        <w:rPr>
          <w:rFonts w:cs="Arial"/>
          <w:sz w:val="32"/>
          <w:szCs w:val="32"/>
        </w:rPr>
      </w:pPr>
      <w:bookmarkStart w:id="8" w:name="_Toc160828857"/>
      <w:bookmarkStart w:id="9" w:name="_Hlk160823934"/>
      <w:r w:rsidRPr="00220108">
        <w:rPr>
          <w:rFonts w:cs="Arial"/>
          <w:sz w:val="32"/>
          <w:szCs w:val="32"/>
        </w:rPr>
        <w:lastRenderedPageBreak/>
        <w:t>Introductory comments</w:t>
      </w:r>
      <w:bookmarkEnd w:id="8"/>
      <w:bookmarkEnd w:id="9"/>
    </w:p>
    <w:p w14:paraId="0676EFAA" w14:textId="0498252D" w:rsidR="005327C3" w:rsidRPr="005327C3" w:rsidRDefault="005327C3" w:rsidP="005327C3">
      <w:pPr>
        <w:rPr>
          <w:lang w:val="en-AU"/>
        </w:rPr>
      </w:pPr>
      <w:r w:rsidRPr="005327C3">
        <w:rPr>
          <w:lang w:val="en-AU"/>
        </w:rPr>
        <w:t xml:space="preserve">AFDO and our </w:t>
      </w:r>
      <w:r>
        <w:rPr>
          <w:lang w:val="en-AU"/>
        </w:rPr>
        <w:t>M</w:t>
      </w:r>
      <w:r w:rsidRPr="005327C3">
        <w:rPr>
          <w:lang w:val="en-AU"/>
        </w:rPr>
        <w:t xml:space="preserve">embers </w:t>
      </w:r>
      <w:r w:rsidR="00122E40">
        <w:rPr>
          <w:lang w:val="en-AU"/>
        </w:rPr>
        <w:t>thank the Department of Social Services for the</w:t>
      </w:r>
      <w:r w:rsidRPr="005327C3">
        <w:rPr>
          <w:lang w:val="en-AU"/>
        </w:rPr>
        <w:t xml:space="preserve"> opportunity to provide feedback on the draft National Autism Strategy</w:t>
      </w:r>
      <w:r w:rsidR="001F3FA6">
        <w:rPr>
          <w:lang w:val="en-AU"/>
        </w:rPr>
        <w:t xml:space="preserve"> (the Strategy)</w:t>
      </w:r>
      <w:r w:rsidR="00122E40">
        <w:rPr>
          <w:lang w:val="en-AU"/>
        </w:rPr>
        <w:t xml:space="preserve">. </w:t>
      </w:r>
      <w:r w:rsidRPr="005327C3">
        <w:rPr>
          <w:lang w:val="en-AU"/>
        </w:rPr>
        <w:t xml:space="preserve">This submission has been informed by a consultation forum we held with the following </w:t>
      </w:r>
      <w:r w:rsidR="00122E40">
        <w:rPr>
          <w:lang w:val="en-AU"/>
        </w:rPr>
        <w:t>AFDO M</w:t>
      </w:r>
      <w:r w:rsidRPr="005327C3">
        <w:rPr>
          <w:lang w:val="en-AU"/>
        </w:rPr>
        <w:t>ember</w:t>
      </w:r>
      <w:r w:rsidR="00122E40">
        <w:rPr>
          <w:lang w:val="en-AU"/>
        </w:rPr>
        <w:t xml:space="preserve"> organisations</w:t>
      </w:r>
      <w:r w:rsidRPr="005327C3">
        <w:rPr>
          <w:lang w:val="en-AU"/>
        </w:rPr>
        <w:t xml:space="preserve"> in May 2024:</w:t>
      </w:r>
    </w:p>
    <w:p w14:paraId="38E8227F" w14:textId="77777777" w:rsidR="00122E40" w:rsidRDefault="005327C3" w:rsidP="005327C3">
      <w:pPr>
        <w:pStyle w:val="ListParagraph"/>
        <w:numPr>
          <w:ilvl w:val="0"/>
          <w:numId w:val="6"/>
        </w:numPr>
      </w:pPr>
      <w:r w:rsidRPr="00122E40">
        <w:t>Autism Aspergers Advocacy Australia (A4)</w:t>
      </w:r>
    </w:p>
    <w:p w14:paraId="22915965" w14:textId="704D656A" w:rsidR="00FD497A" w:rsidRDefault="005327C3" w:rsidP="005327C3">
      <w:pPr>
        <w:pStyle w:val="ListParagraph"/>
        <w:numPr>
          <w:ilvl w:val="0"/>
          <w:numId w:val="6"/>
        </w:numPr>
      </w:pPr>
      <w:proofErr w:type="gramStart"/>
      <w:r w:rsidRPr="00122E40">
        <w:t>South</w:t>
      </w:r>
      <w:r w:rsidR="00BA711E">
        <w:t xml:space="preserve"> </w:t>
      </w:r>
      <w:r w:rsidRPr="00122E40">
        <w:t>West</w:t>
      </w:r>
      <w:proofErr w:type="gramEnd"/>
      <w:r w:rsidRPr="00122E40">
        <w:t xml:space="preserve"> Autism Network (SWAN)</w:t>
      </w:r>
    </w:p>
    <w:p w14:paraId="716BACB3" w14:textId="77777777" w:rsidR="00193F44" w:rsidRDefault="005327C3" w:rsidP="005327C3">
      <w:pPr>
        <w:pStyle w:val="ListParagraph"/>
        <w:numPr>
          <w:ilvl w:val="0"/>
          <w:numId w:val="6"/>
        </w:numPr>
      </w:pPr>
      <w:r w:rsidRPr="00FD497A">
        <w:t>Amaze</w:t>
      </w:r>
    </w:p>
    <w:p w14:paraId="7A3DB745" w14:textId="77777777" w:rsidR="00193F44" w:rsidRDefault="005327C3" w:rsidP="005327C3">
      <w:pPr>
        <w:pStyle w:val="ListParagraph"/>
        <w:numPr>
          <w:ilvl w:val="0"/>
          <w:numId w:val="6"/>
        </w:numPr>
      </w:pPr>
      <w:r w:rsidRPr="00193F44">
        <w:t>Down Syndrome Australia</w:t>
      </w:r>
    </w:p>
    <w:p w14:paraId="5C928307" w14:textId="4407CC84" w:rsidR="005327C3" w:rsidRPr="00193F44" w:rsidRDefault="005327C3" w:rsidP="005327C3">
      <w:pPr>
        <w:pStyle w:val="ListParagraph"/>
        <w:numPr>
          <w:ilvl w:val="0"/>
          <w:numId w:val="6"/>
        </w:numPr>
      </w:pPr>
      <w:r w:rsidRPr="00193F44">
        <w:t>Disability Advocacy and Complaints Service of South Australia (DACSSA).</w:t>
      </w:r>
    </w:p>
    <w:p w14:paraId="7BB99103" w14:textId="3A3B9AD9" w:rsidR="005327C3" w:rsidRPr="005327C3" w:rsidRDefault="005327C3" w:rsidP="005327C3">
      <w:pPr>
        <w:rPr>
          <w:lang w:val="en-AU"/>
        </w:rPr>
      </w:pPr>
      <w:r w:rsidRPr="005327C3">
        <w:rPr>
          <w:lang w:val="en-AU"/>
        </w:rPr>
        <w:t xml:space="preserve">We would like to thank all </w:t>
      </w:r>
      <w:r w:rsidR="00193F44">
        <w:rPr>
          <w:lang w:val="en-AU"/>
        </w:rPr>
        <w:t>M</w:t>
      </w:r>
      <w:r w:rsidRPr="005327C3">
        <w:rPr>
          <w:lang w:val="en-AU"/>
        </w:rPr>
        <w:t xml:space="preserve">embers who participated in this forum for their subject matter proficiency, lived experience expertise, and the spirit of collaboration in which they have approached this work. We have </w:t>
      </w:r>
      <w:r w:rsidR="00A32743">
        <w:rPr>
          <w:lang w:val="en-AU"/>
        </w:rPr>
        <w:t>endeavoured</w:t>
      </w:r>
      <w:r w:rsidRPr="005327C3">
        <w:rPr>
          <w:lang w:val="en-AU"/>
        </w:rPr>
        <w:t xml:space="preserve"> to ensure the perspectives and views of all Members are incorporated into this submission. We acknowledge, however, that each of our Member organisations reserves the right to express an alternative view on any aspect of the Strategy.</w:t>
      </w:r>
    </w:p>
    <w:p w14:paraId="18FD0865" w14:textId="4269EE52" w:rsidR="005327C3" w:rsidRPr="005327C3" w:rsidRDefault="005327C3" w:rsidP="005327C3">
      <w:pPr>
        <w:rPr>
          <w:lang w:val="en-AU"/>
        </w:rPr>
      </w:pPr>
      <w:r w:rsidRPr="005327C3">
        <w:rPr>
          <w:lang w:val="en-AU"/>
        </w:rPr>
        <w:t xml:space="preserve">A National Autism Strategy is critically important to ensuring we move towards a society where the rights of </w:t>
      </w:r>
      <w:r w:rsidR="007D60AD">
        <w:rPr>
          <w:lang w:val="en-AU"/>
        </w:rPr>
        <w:t>Autistic</w:t>
      </w:r>
      <w:r w:rsidRPr="005327C3">
        <w:rPr>
          <w:lang w:val="en-AU"/>
        </w:rPr>
        <w:t xml:space="preserve"> Australians are effectively promoted, protected</w:t>
      </w:r>
      <w:r w:rsidR="00A32743">
        <w:rPr>
          <w:lang w:val="en-AU"/>
        </w:rPr>
        <w:t>,</w:t>
      </w:r>
      <w:r w:rsidRPr="005327C3">
        <w:rPr>
          <w:lang w:val="en-AU"/>
        </w:rPr>
        <w:t xml:space="preserve"> and upheld and they can participate fully in all aspects of life. A separate Strategy which focuses on the needs of </w:t>
      </w:r>
      <w:r w:rsidR="007D60AD">
        <w:rPr>
          <w:lang w:val="en-AU"/>
        </w:rPr>
        <w:t>Autistic</w:t>
      </w:r>
      <w:r w:rsidRPr="005327C3">
        <w:rPr>
          <w:lang w:val="en-AU"/>
        </w:rPr>
        <w:t xml:space="preserve"> Australians is necessary when considering that in Australia, people with </w:t>
      </w:r>
      <w:r w:rsidR="00B74542">
        <w:rPr>
          <w:lang w:val="en-AU"/>
        </w:rPr>
        <w:t>a</w:t>
      </w:r>
      <w:r w:rsidRPr="005327C3">
        <w:rPr>
          <w:lang w:val="en-AU"/>
        </w:rPr>
        <w:t>utism:</w:t>
      </w:r>
    </w:p>
    <w:p w14:paraId="4BFDF938" w14:textId="77777777" w:rsidR="00B74542" w:rsidRDefault="005327C3" w:rsidP="005327C3">
      <w:pPr>
        <w:pStyle w:val="ListParagraph"/>
        <w:numPr>
          <w:ilvl w:val="0"/>
          <w:numId w:val="7"/>
        </w:numPr>
      </w:pPr>
      <w:r w:rsidRPr="00B74542">
        <w:t>Continue to experience some of the worst education and employment outcomes.</w:t>
      </w:r>
    </w:p>
    <w:p w14:paraId="35503150" w14:textId="77777777" w:rsidR="00B74542" w:rsidRDefault="005327C3" w:rsidP="005327C3">
      <w:pPr>
        <w:pStyle w:val="ListParagraph"/>
        <w:numPr>
          <w:ilvl w:val="0"/>
          <w:numId w:val="7"/>
        </w:numPr>
      </w:pPr>
      <w:r w:rsidRPr="00B74542">
        <w:t>Are at increased risk of violence, abuse, neglect, and exploitation.</w:t>
      </w:r>
    </w:p>
    <w:p w14:paraId="1A128463" w14:textId="4293A5E6" w:rsidR="005327C3" w:rsidRPr="00B74542" w:rsidRDefault="005327C3" w:rsidP="005327C3">
      <w:pPr>
        <w:pStyle w:val="ListParagraph"/>
        <w:numPr>
          <w:ilvl w:val="0"/>
          <w:numId w:val="7"/>
        </w:numPr>
      </w:pPr>
      <w:r w:rsidRPr="00B74542">
        <w:t>Are overrepresented in the criminal justice system.</w:t>
      </w:r>
    </w:p>
    <w:p w14:paraId="20FF678E" w14:textId="77777777" w:rsidR="00BA711E" w:rsidRDefault="005327C3" w:rsidP="005327C3">
      <w:pPr>
        <w:rPr>
          <w:lang w:val="en-AU"/>
        </w:rPr>
      </w:pPr>
      <w:r w:rsidRPr="005327C3">
        <w:rPr>
          <w:lang w:val="en-AU"/>
        </w:rPr>
        <w:t xml:space="preserve">It is important to recognise that </w:t>
      </w:r>
      <w:r w:rsidR="00CF1397">
        <w:rPr>
          <w:lang w:val="en-AU"/>
        </w:rPr>
        <w:t>a</w:t>
      </w:r>
      <w:r w:rsidRPr="005327C3">
        <w:rPr>
          <w:lang w:val="en-AU"/>
        </w:rPr>
        <w:t xml:space="preserve">utism exists on a spectrum, with </w:t>
      </w:r>
      <w:r w:rsidR="00A96936">
        <w:rPr>
          <w:lang w:val="en-AU"/>
        </w:rPr>
        <w:t>people’s</w:t>
      </w:r>
      <w:r w:rsidR="00CF1397">
        <w:rPr>
          <w:lang w:val="en-AU"/>
        </w:rPr>
        <w:t xml:space="preserve"> </w:t>
      </w:r>
      <w:r w:rsidRPr="005327C3">
        <w:rPr>
          <w:lang w:val="en-AU"/>
        </w:rPr>
        <w:t xml:space="preserve">needs varying greatly depending on a range of factors. </w:t>
      </w:r>
    </w:p>
    <w:p w14:paraId="536D7A4B" w14:textId="72E39CB3" w:rsidR="005327C3" w:rsidRPr="005327C3" w:rsidRDefault="00BA711E" w:rsidP="005327C3">
      <w:pPr>
        <w:rPr>
          <w:lang w:val="en-AU"/>
        </w:rPr>
      </w:pPr>
      <w:r>
        <w:rPr>
          <w:lang w:val="en-AU"/>
        </w:rPr>
        <w:t>We stress that t</w:t>
      </w:r>
      <w:r w:rsidR="005327C3" w:rsidRPr="005327C3">
        <w:rPr>
          <w:lang w:val="en-AU"/>
        </w:rPr>
        <w:t xml:space="preserve">here is </w:t>
      </w:r>
      <w:r>
        <w:rPr>
          <w:lang w:val="en-AU"/>
        </w:rPr>
        <w:t>“</w:t>
      </w:r>
      <w:r w:rsidR="005327C3" w:rsidRPr="005327C3">
        <w:rPr>
          <w:lang w:val="en-AU"/>
        </w:rPr>
        <w:t>no silver bullet</w:t>
      </w:r>
      <w:r>
        <w:rPr>
          <w:lang w:val="en-AU"/>
        </w:rPr>
        <w:t xml:space="preserve">” </w:t>
      </w:r>
      <w:r w:rsidR="005327C3" w:rsidRPr="005327C3">
        <w:rPr>
          <w:lang w:val="en-AU"/>
        </w:rPr>
        <w:t xml:space="preserve">in terms of policy solutions that will effectively meet the needs of every </w:t>
      </w:r>
      <w:r w:rsidR="007D60AD">
        <w:rPr>
          <w:lang w:val="en-AU"/>
        </w:rPr>
        <w:t>Autistic</w:t>
      </w:r>
      <w:r w:rsidR="005327C3" w:rsidRPr="005327C3">
        <w:rPr>
          <w:lang w:val="en-AU"/>
        </w:rPr>
        <w:t xml:space="preserve"> Australian. This is why the Strategy needs to facilitate a broad suite of services, supports</w:t>
      </w:r>
      <w:r w:rsidR="00A96936">
        <w:rPr>
          <w:lang w:val="en-AU"/>
        </w:rPr>
        <w:t>,</w:t>
      </w:r>
      <w:r w:rsidR="005327C3" w:rsidRPr="005327C3">
        <w:rPr>
          <w:lang w:val="en-AU"/>
        </w:rPr>
        <w:t xml:space="preserve"> and policy responses that have been co-designed with </w:t>
      </w:r>
      <w:r w:rsidR="007D60AD">
        <w:rPr>
          <w:lang w:val="en-AU"/>
        </w:rPr>
        <w:t>Autistic</w:t>
      </w:r>
      <w:r w:rsidR="005327C3" w:rsidRPr="005327C3">
        <w:rPr>
          <w:lang w:val="en-AU"/>
        </w:rPr>
        <w:t xml:space="preserve"> people with varying support needs.</w:t>
      </w:r>
    </w:p>
    <w:p w14:paraId="5E2357FA" w14:textId="77777777" w:rsidR="00225B27" w:rsidRPr="00225B27" w:rsidRDefault="00225B27" w:rsidP="00225B27">
      <w:pPr>
        <w:rPr>
          <w:lang w:val="en-AU"/>
        </w:rPr>
      </w:pPr>
    </w:p>
    <w:p w14:paraId="61C865F5" w14:textId="71637E7D" w:rsidR="00460D00" w:rsidRDefault="00AF1C51" w:rsidP="002B7F5C">
      <w:pPr>
        <w:pStyle w:val="Heading2"/>
        <w:numPr>
          <w:ilvl w:val="0"/>
          <w:numId w:val="5"/>
        </w:numPr>
        <w:rPr>
          <w:rFonts w:cs="Arial"/>
          <w:sz w:val="32"/>
          <w:szCs w:val="32"/>
        </w:rPr>
      </w:pPr>
      <w:r>
        <w:rPr>
          <w:rFonts w:cs="Arial"/>
          <w:sz w:val="32"/>
          <w:szCs w:val="32"/>
        </w:rPr>
        <w:lastRenderedPageBreak/>
        <w:t>Su</w:t>
      </w:r>
      <w:r w:rsidR="0068160D">
        <w:rPr>
          <w:rFonts w:cs="Arial"/>
          <w:sz w:val="32"/>
          <w:szCs w:val="32"/>
        </w:rPr>
        <w:t>mmary of recommendations</w:t>
      </w:r>
    </w:p>
    <w:p w14:paraId="635424C3" w14:textId="56381404" w:rsidR="002B7F5C" w:rsidRPr="009F688B" w:rsidRDefault="00BE7307" w:rsidP="009F688B">
      <w:pPr>
        <w:pStyle w:val="ListParagraph"/>
        <w:numPr>
          <w:ilvl w:val="0"/>
          <w:numId w:val="8"/>
        </w:numPr>
        <w:rPr>
          <w:b/>
          <w:bCs/>
        </w:rPr>
      </w:pPr>
      <w:r w:rsidRPr="009F688B">
        <w:t xml:space="preserve">The final Strategy must include </w:t>
      </w:r>
      <w:r w:rsidRPr="00AA292B">
        <w:t>clear timelines, defined responsibilities, and measurable outcomes to drive accountability.</w:t>
      </w:r>
      <w:r w:rsidR="002B7F5C" w:rsidRPr="009F688B">
        <w:rPr>
          <w:b/>
          <w:bCs/>
        </w:rPr>
        <w:br/>
      </w:r>
    </w:p>
    <w:p w14:paraId="753B0ED9" w14:textId="77777777" w:rsidR="002B7F5C" w:rsidRPr="002B7F5C" w:rsidRDefault="00BE7307" w:rsidP="00BE7307">
      <w:pPr>
        <w:pStyle w:val="ListParagraph"/>
        <w:numPr>
          <w:ilvl w:val="0"/>
          <w:numId w:val="8"/>
        </w:numPr>
        <w:rPr>
          <w:b/>
          <w:bCs/>
        </w:rPr>
      </w:pPr>
      <w:r w:rsidRPr="00AA292B">
        <w:t>The final Strategy must clearly articulate the level of funding/resourcing that will be committed to ensure its long-term success.</w:t>
      </w:r>
      <w:r w:rsidR="002B7F5C">
        <w:br/>
      </w:r>
    </w:p>
    <w:p w14:paraId="144AE85F" w14:textId="34BA94BC" w:rsidR="002B7F5C" w:rsidRPr="002B7F5C" w:rsidRDefault="00BE7307" w:rsidP="00BE7307">
      <w:pPr>
        <w:pStyle w:val="ListParagraph"/>
        <w:numPr>
          <w:ilvl w:val="0"/>
          <w:numId w:val="8"/>
        </w:numPr>
        <w:rPr>
          <w:b/>
          <w:bCs/>
        </w:rPr>
      </w:pPr>
      <w:r w:rsidRPr="002B7F5C">
        <w:t xml:space="preserve">Each </w:t>
      </w:r>
      <w:r w:rsidR="001F3FA6">
        <w:t>O</w:t>
      </w:r>
      <w:r w:rsidRPr="002B7F5C">
        <w:t xml:space="preserve">utcome </w:t>
      </w:r>
      <w:r w:rsidR="001F3FA6">
        <w:t>A</w:t>
      </w:r>
      <w:r w:rsidRPr="002B7F5C">
        <w:t>rea included in the Strategy must be accompanied by a problem statement which articulates the specific problem/s the Strategy is aiming to resolve.</w:t>
      </w:r>
      <w:r w:rsidR="002B7F5C">
        <w:br/>
      </w:r>
    </w:p>
    <w:p w14:paraId="5DBA0283" w14:textId="73F24877" w:rsidR="00620518" w:rsidRPr="00620518" w:rsidRDefault="00BE7307" w:rsidP="00620518">
      <w:pPr>
        <w:pStyle w:val="ListParagraph"/>
        <w:numPr>
          <w:ilvl w:val="0"/>
          <w:numId w:val="8"/>
        </w:numPr>
        <w:rPr>
          <w:b/>
          <w:bCs/>
        </w:rPr>
      </w:pPr>
      <w:r w:rsidRPr="002B7F5C">
        <w:t>The final Strategy must clearly articulate Government’s intentions in relation to the suite of strategies, frameworks</w:t>
      </w:r>
      <w:r w:rsidR="00620518">
        <w:t>,</w:t>
      </w:r>
      <w:r w:rsidRPr="002B7F5C">
        <w:t xml:space="preserve"> and plans recommended by the Select Committee on Autism, including:</w:t>
      </w:r>
    </w:p>
    <w:p w14:paraId="0539CB6A" w14:textId="5BD6D004" w:rsidR="00620518" w:rsidRPr="00620518" w:rsidRDefault="00BE7307" w:rsidP="00620518">
      <w:pPr>
        <w:pStyle w:val="ListParagraph"/>
        <w:numPr>
          <w:ilvl w:val="0"/>
          <w:numId w:val="9"/>
        </w:numPr>
        <w:rPr>
          <w:b/>
          <w:bCs/>
        </w:rPr>
      </w:pPr>
      <w:r w:rsidRPr="00620518">
        <w:t>National Autism Advocacy Plan</w:t>
      </w:r>
      <w:r w:rsidR="001F3FA6">
        <w:t>.</w:t>
      </w:r>
    </w:p>
    <w:p w14:paraId="439E596A" w14:textId="5AF70AC9" w:rsidR="00620518" w:rsidRPr="00620518" w:rsidRDefault="00BE7307" w:rsidP="00620518">
      <w:pPr>
        <w:pStyle w:val="ListParagraph"/>
        <w:numPr>
          <w:ilvl w:val="0"/>
          <w:numId w:val="9"/>
        </w:numPr>
        <w:rPr>
          <w:b/>
          <w:bCs/>
        </w:rPr>
      </w:pPr>
      <w:r w:rsidRPr="00620518">
        <w:t>National Autism Workforce Plan</w:t>
      </w:r>
      <w:r w:rsidR="001F3FA6">
        <w:t>.</w:t>
      </w:r>
    </w:p>
    <w:p w14:paraId="7FA172A9" w14:textId="526598FC" w:rsidR="00620518" w:rsidRPr="00620518" w:rsidRDefault="00BE7307" w:rsidP="00620518">
      <w:pPr>
        <w:pStyle w:val="ListParagraph"/>
        <w:numPr>
          <w:ilvl w:val="0"/>
          <w:numId w:val="9"/>
        </w:numPr>
        <w:rPr>
          <w:b/>
          <w:bCs/>
        </w:rPr>
      </w:pPr>
      <w:r w:rsidRPr="00620518">
        <w:t>Guidelines on autism-friendly service design</w:t>
      </w:r>
      <w:r w:rsidR="001F3FA6">
        <w:t>.</w:t>
      </w:r>
    </w:p>
    <w:p w14:paraId="4FB6B676" w14:textId="1EAADED4" w:rsidR="00620518" w:rsidRPr="00620518" w:rsidRDefault="00BE7307" w:rsidP="00620518">
      <w:pPr>
        <w:pStyle w:val="ListParagraph"/>
        <w:numPr>
          <w:ilvl w:val="0"/>
          <w:numId w:val="9"/>
        </w:numPr>
        <w:rPr>
          <w:b/>
          <w:bCs/>
        </w:rPr>
      </w:pPr>
      <w:r w:rsidRPr="00620518">
        <w:t>National Autism Research Framework</w:t>
      </w:r>
      <w:r w:rsidR="001F3FA6">
        <w:t>.</w:t>
      </w:r>
    </w:p>
    <w:p w14:paraId="1A804B37" w14:textId="48E336B6" w:rsidR="00BE7307" w:rsidRPr="00620518" w:rsidRDefault="00BE7307" w:rsidP="00620518">
      <w:pPr>
        <w:pStyle w:val="ListParagraph"/>
        <w:numPr>
          <w:ilvl w:val="0"/>
          <w:numId w:val="9"/>
        </w:numPr>
        <w:rPr>
          <w:b/>
          <w:bCs/>
        </w:rPr>
      </w:pPr>
      <w:r w:rsidRPr="00620518">
        <w:t>National Autism Employment Framework and Transition to Work Roadmap.</w:t>
      </w:r>
    </w:p>
    <w:p w14:paraId="5E68D3F5" w14:textId="77777777" w:rsidR="00620518" w:rsidRPr="00620518" w:rsidRDefault="00620518" w:rsidP="00620518">
      <w:pPr>
        <w:pStyle w:val="ListParagraph"/>
        <w:ind w:left="1080"/>
        <w:rPr>
          <w:b/>
          <w:bCs/>
        </w:rPr>
      </w:pPr>
    </w:p>
    <w:p w14:paraId="6C2F9EE9" w14:textId="70F9B288" w:rsidR="00620518" w:rsidRDefault="00BE7307" w:rsidP="00620518">
      <w:pPr>
        <w:pStyle w:val="ListParagraph"/>
        <w:numPr>
          <w:ilvl w:val="0"/>
          <w:numId w:val="8"/>
        </w:numPr>
      </w:pPr>
      <w:r w:rsidRPr="00620518">
        <w:t xml:space="preserve">The final Strategy must be based on the human rights model of disability </w:t>
      </w:r>
      <w:r w:rsidR="00BA711E">
        <w:t xml:space="preserve">not the </w:t>
      </w:r>
      <w:r w:rsidRPr="00620518">
        <w:t>biopsychosocial model of disability.</w:t>
      </w:r>
      <w:r w:rsidR="00620518">
        <w:br/>
      </w:r>
    </w:p>
    <w:p w14:paraId="316C5838" w14:textId="77777777" w:rsidR="00620518" w:rsidRDefault="00BE7307" w:rsidP="00620518">
      <w:pPr>
        <w:pStyle w:val="ListParagraph"/>
        <w:numPr>
          <w:ilvl w:val="0"/>
          <w:numId w:val="8"/>
        </w:numPr>
      </w:pPr>
      <w:r w:rsidRPr="00AA292B">
        <w:t>The final Strategy must create a mechanism:</w:t>
      </w:r>
    </w:p>
    <w:p w14:paraId="2D8BF370" w14:textId="77777777" w:rsidR="00620518" w:rsidRDefault="00BE7307" w:rsidP="00620518">
      <w:pPr>
        <w:pStyle w:val="ListParagraph"/>
        <w:numPr>
          <w:ilvl w:val="0"/>
          <w:numId w:val="10"/>
        </w:numPr>
      </w:pPr>
      <w:r w:rsidRPr="00AA292B">
        <w:t>To coordinate broad-based change across all levels of Government, and</w:t>
      </w:r>
    </w:p>
    <w:p w14:paraId="3DC19133" w14:textId="77777777" w:rsidR="00046FA0" w:rsidRDefault="00BE7307" w:rsidP="00046FA0">
      <w:pPr>
        <w:pStyle w:val="ListParagraph"/>
        <w:numPr>
          <w:ilvl w:val="0"/>
          <w:numId w:val="10"/>
        </w:numPr>
      </w:pPr>
      <w:r w:rsidRPr="00AA292B">
        <w:t>For complex inter-jurisdictional issues to be dealt with by the Disability Reform Ministerial Council.</w:t>
      </w:r>
      <w:r w:rsidR="00046FA0">
        <w:br/>
      </w:r>
    </w:p>
    <w:p w14:paraId="61C07CD0" w14:textId="77777777" w:rsidR="00046FA0" w:rsidRDefault="00BE7307" w:rsidP="00BE7307">
      <w:pPr>
        <w:pStyle w:val="ListParagraph"/>
        <w:numPr>
          <w:ilvl w:val="0"/>
          <w:numId w:val="8"/>
        </w:numPr>
      </w:pPr>
      <w:r w:rsidRPr="00046FA0">
        <w:t>“</w:t>
      </w:r>
      <w:r w:rsidRPr="00AA292B">
        <w:t>Freedom of expression and opinion and access to information” must be referenced as a guiding principle under the final Strategy to give rise to Article 21 of the CRPD.</w:t>
      </w:r>
      <w:r w:rsidR="00046FA0">
        <w:br/>
      </w:r>
    </w:p>
    <w:p w14:paraId="194CD9FD" w14:textId="77777777" w:rsidR="00BA711E" w:rsidRDefault="00BE7307" w:rsidP="00BE7307">
      <w:pPr>
        <w:pStyle w:val="ListParagraph"/>
        <w:numPr>
          <w:ilvl w:val="0"/>
          <w:numId w:val="8"/>
        </w:numPr>
      </w:pPr>
      <w:r w:rsidRPr="00046FA0">
        <w:t xml:space="preserve">The Department must urgently review the level of funding that has been provided to Autism Aspergers Advocacy Australia (A4) under the Disability Representative Organisations (DRO) program, ensuring they receive at least $220,000 per annum in recognition of their national role and membership. </w:t>
      </w:r>
    </w:p>
    <w:p w14:paraId="3D7855DC" w14:textId="34537336" w:rsidR="00046FA0" w:rsidRDefault="00BE7307" w:rsidP="00BA711E">
      <w:pPr>
        <w:pStyle w:val="ListParagraph"/>
        <w:ind w:left="360"/>
      </w:pPr>
      <w:r w:rsidRPr="00046FA0">
        <w:t xml:space="preserve">This is necessary to ensure the voices of </w:t>
      </w:r>
      <w:r w:rsidR="007D60AD">
        <w:t>Autistic</w:t>
      </w:r>
      <w:r w:rsidRPr="00046FA0">
        <w:t xml:space="preserve"> people are effectively upheld as Government approaches the development of the </w:t>
      </w:r>
      <w:r w:rsidR="00357318">
        <w:t>I</w:t>
      </w:r>
      <w:r w:rsidRPr="00046FA0">
        <w:t xml:space="preserve">mplementation </w:t>
      </w:r>
      <w:r w:rsidR="00357318">
        <w:t xml:space="preserve">Plan </w:t>
      </w:r>
      <w:r w:rsidRPr="00046FA0">
        <w:t xml:space="preserve">and </w:t>
      </w:r>
      <w:r w:rsidR="00357318">
        <w:t>O</w:t>
      </w:r>
      <w:r w:rsidRPr="00046FA0">
        <w:t xml:space="preserve">utcomes </w:t>
      </w:r>
      <w:r w:rsidR="00357318">
        <w:t>F</w:t>
      </w:r>
      <w:r w:rsidRPr="00046FA0">
        <w:t>ramework that will accompany the National Autism Strategy, as well as the reforms arising out of the Disability Royal Commission and the Independent Review of the NDIS.</w:t>
      </w:r>
      <w:r w:rsidR="00046FA0">
        <w:br/>
      </w:r>
    </w:p>
    <w:p w14:paraId="692811EB" w14:textId="77777777" w:rsidR="00BA711E" w:rsidRDefault="00BA711E" w:rsidP="00BA711E"/>
    <w:p w14:paraId="3457FCE7" w14:textId="77777777" w:rsidR="00BA711E" w:rsidRDefault="00BA711E" w:rsidP="00BA711E"/>
    <w:p w14:paraId="42F3E670" w14:textId="76E8C55A" w:rsidR="00046FA0" w:rsidRDefault="00BE7307" w:rsidP="00046FA0">
      <w:pPr>
        <w:pStyle w:val="ListParagraph"/>
        <w:numPr>
          <w:ilvl w:val="0"/>
          <w:numId w:val="8"/>
        </w:numPr>
      </w:pPr>
      <w:r w:rsidRPr="00046FA0">
        <w:lastRenderedPageBreak/>
        <w:t>The Department of Social Services must refer to AFDO’s position statement on consultation and co-design</w:t>
      </w:r>
      <w:r w:rsidR="00E475DB">
        <w:t xml:space="preserve">, to be published in June 2024, </w:t>
      </w:r>
      <w:r w:rsidRPr="00046FA0">
        <w:t>as it:</w:t>
      </w:r>
    </w:p>
    <w:p w14:paraId="06C22454" w14:textId="327453DF" w:rsidR="00046FA0" w:rsidRDefault="00046FA0" w:rsidP="00046FA0">
      <w:pPr>
        <w:pStyle w:val="ListParagraph"/>
        <w:numPr>
          <w:ilvl w:val="0"/>
          <w:numId w:val="11"/>
        </w:numPr>
      </w:pPr>
      <w:r>
        <w:t>A</w:t>
      </w:r>
      <w:r w:rsidR="00BE7307" w:rsidRPr="00046FA0">
        <w:t>pproaches the development of the Implementation Plan, Outcomes Framework, and any other documents associated with the Strategy, and</w:t>
      </w:r>
    </w:p>
    <w:p w14:paraId="019CBD51" w14:textId="3F56FA03" w:rsidR="00BE7307" w:rsidRDefault="00BE7307" w:rsidP="00046FA0">
      <w:pPr>
        <w:pStyle w:val="ListParagraph"/>
        <w:numPr>
          <w:ilvl w:val="0"/>
          <w:numId w:val="11"/>
        </w:numPr>
      </w:pPr>
      <w:r w:rsidRPr="00046FA0">
        <w:t>Approaches the implementation of the various commitments referenced underneath the Strategy.</w:t>
      </w:r>
    </w:p>
    <w:p w14:paraId="037A95EF" w14:textId="77777777" w:rsidR="00046FA0" w:rsidRPr="00046FA0" w:rsidRDefault="00046FA0" w:rsidP="00046FA0">
      <w:pPr>
        <w:pStyle w:val="ListParagraph"/>
        <w:ind w:left="1080"/>
      </w:pPr>
    </w:p>
    <w:p w14:paraId="4000438F" w14:textId="65FB0A2A" w:rsidR="00046FA0" w:rsidRDefault="00BE7307" w:rsidP="00046FA0">
      <w:pPr>
        <w:pStyle w:val="ListParagraph"/>
        <w:numPr>
          <w:ilvl w:val="0"/>
          <w:numId w:val="8"/>
        </w:numPr>
      </w:pPr>
      <w:r w:rsidRPr="00046FA0">
        <w:t xml:space="preserve">The following guidelines must be followed by any third party provider that is undertaking </w:t>
      </w:r>
      <w:r w:rsidR="00046FA0" w:rsidRPr="00046FA0">
        <w:t>work under</w:t>
      </w:r>
      <w:r w:rsidRPr="00046FA0">
        <w:t xml:space="preserve"> a </w:t>
      </w:r>
      <w:r w:rsidR="00357318" w:rsidRPr="00046FA0">
        <w:t>government</w:t>
      </w:r>
      <w:r w:rsidRPr="00046FA0">
        <w:t xml:space="preserve"> contract:</w:t>
      </w:r>
    </w:p>
    <w:p w14:paraId="69FF50FC" w14:textId="77777777" w:rsidR="00046FA0" w:rsidRDefault="00BE7307" w:rsidP="00046FA0">
      <w:pPr>
        <w:pStyle w:val="ListParagraph"/>
        <w:numPr>
          <w:ilvl w:val="0"/>
          <w:numId w:val="12"/>
        </w:numPr>
      </w:pPr>
      <w:r w:rsidRPr="00AA292B">
        <w:t>Accessibility requirements must be clearly stated in all requests for tender and contractual agreements with third party providers.</w:t>
      </w:r>
    </w:p>
    <w:p w14:paraId="2F978B3E" w14:textId="77777777" w:rsidR="00046FA0" w:rsidRDefault="00BE7307" w:rsidP="00046FA0">
      <w:pPr>
        <w:pStyle w:val="ListParagraph"/>
        <w:numPr>
          <w:ilvl w:val="0"/>
          <w:numId w:val="12"/>
        </w:numPr>
      </w:pPr>
      <w:r w:rsidRPr="00AA292B">
        <w:t>There must be checks and balances in place to ensure accessibility requirements have been adequately met by third party providers.</w:t>
      </w:r>
    </w:p>
    <w:p w14:paraId="4FDA8299" w14:textId="4B023AD3" w:rsidR="00BE7307" w:rsidRPr="00046FA0" w:rsidRDefault="00BE7307" w:rsidP="00046FA0">
      <w:pPr>
        <w:pStyle w:val="ListParagraph"/>
        <w:numPr>
          <w:ilvl w:val="0"/>
          <w:numId w:val="12"/>
        </w:numPr>
      </w:pPr>
      <w:r w:rsidRPr="00AA292B">
        <w:t>There must be repercussions for any provider who fails to meet the accessibility requirements specified under a government contract.</w:t>
      </w:r>
    </w:p>
    <w:p w14:paraId="4A0DB3F3" w14:textId="36D047EB" w:rsidR="00BE7307" w:rsidRPr="00AA292B" w:rsidRDefault="00BE7307" w:rsidP="00046FA0">
      <w:pPr>
        <w:pStyle w:val="ListBullet"/>
        <w:numPr>
          <w:ilvl w:val="0"/>
          <w:numId w:val="8"/>
        </w:numPr>
        <w:rPr>
          <w:lang w:val="en-AU"/>
        </w:rPr>
      </w:pPr>
      <w:r w:rsidRPr="00AA292B">
        <w:rPr>
          <w:lang w:val="en-AU"/>
        </w:rPr>
        <w:t xml:space="preserve">The Department must ensure the final Strategy, </w:t>
      </w:r>
      <w:r w:rsidR="00357318">
        <w:rPr>
          <w:lang w:val="en-AU"/>
        </w:rPr>
        <w:t>I</w:t>
      </w:r>
      <w:r w:rsidRPr="00AA292B">
        <w:rPr>
          <w:lang w:val="en-AU"/>
        </w:rPr>
        <w:t xml:space="preserve">mplementation </w:t>
      </w:r>
      <w:r w:rsidR="00357318">
        <w:rPr>
          <w:lang w:val="en-AU"/>
        </w:rPr>
        <w:t>P</w:t>
      </w:r>
      <w:r w:rsidRPr="00AA292B">
        <w:rPr>
          <w:lang w:val="en-AU"/>
        </w:rPr>
        <w:t xml:space="preserve">lan, </w:t>
      </w:r>
      <w:r w:rsidR="00357318">
        <w:rPr>
          <w:lang w:val="en-AU"/>
        </w:rPr>
        <w:t>O</w:t>
      </w:r>
      <w:r w:rsidRPr="00AA292B">
        <w:rPr>
          <w:lang w:val="en-AU"/>
        </w:rPr>
        <w:t>utcomes</w:t>
      </w:r>
      <w:r w:rsidR="00046FA0">
        <w:rPr>
          <w:lang w:val="en-AU"/>
        </w:rPr>
        <w:t xml:space="preserve"> </w:t>
      </w:r>
      <w:r w:rsidR="00357318">
        <w:rPr>
          <w:lang w:val="en-AU"/>
        </w:rPr>
        <w:t>F</w:t>
      </w:r>
      <w:r w:rsidRPr="00AA292B">
        <w:rPr>
          <w:lang w:val="en-AU"/>
        </w:rPr>
        <w:t>ramework</w:t>
      </w:r>
      <w:r w:rsidR="00046FA0">
        <w:rPr>
          <w:lang w:val="en-AU"/>
        </w:rPr>
        <w:t>,</w:t>
      </w:r>
      <w:r w:rsidRPr="00AA292B">
        <w:rPr>
          <w:lang w:val="en-AU"/>
        </w:rPr>
        <w:t xml:space="preserve"> and any other related documents align with the outcome areas and policy directives referenced underneath Australia’s Disability Strategy 2021-31.</w:t>
      </w:r>
    </w:p>
    <w:p w14:paraId="39B3B0CC" w14:textId="74B6291B" w:rsidR="00304702" w:rsidRDefault="00BE7307" w:rsidP="00304702">
      <w:pPr>
        <w:pStyle w:val="ListParagraph"/>
        <w:numPr>
          <w:ilvl w:val="0"/>
          <w:numId w:val="8"/>
        </w:numPr>
      </w:pPr>
      <w:r w:rsidRPr="00304702">
        <w:t>The final Strategy must:</w:t>
      </w:r>
    </w:p>
    <w:p w14:paraId="5813683E" w14:textId="77777777" w:rsidR="00BA711E" w:rsidRDefault="00BA711E" w:rsidP="00BA711E">
      <w:pPr>
        <w:pStyle w:val="ListParagraph"/>
        <w:numPr>
          <w:ilvl w:val="0"/>
          <w:numId w:val="13"/>
        </w:numPr>
      </w:pPr>
      <w:r w:rsidRPr="007E4644">
        <w:t>Include a definition for the term, “</w:t>
      </w:r>
      <w:r>
        <w:t>Autistic</w:t>
      </w:r>
      <w:r w:rsidRPr="007E4644">
        <w:t xml:space="preserve"> people with complex and high support needs”, which has been developed in consultation with </w:t>
      </w:r>
      <w:r>
        <w:t>Autistic</w:t>
      </w:r>
      <w:r w:rsidRPr="007E4644">
        <w:t xml:space="preserve"> people and their representative organisations</w:t>
      </w:r>
    </w:p>
    <w:p w14:paraId="42493AE7" w14:textId="36463A26" w:rsidR="007E4644" w:rsidRDefault="00BE7307" w:rsidP="007E4644">
      <w:pPr>
        <w:pStyle w:val="ListParagraph"/>
        <w:numPr>
          <w:ilvl w:val="0"/>
          <w:numId w:val="13"/>
        </w:numPr>
      </w:pPr>
      <w:r w:rsidRPr="00304702">
        <w:t xml:space="preserve">Clearly articulate that </w:t>
      </w:r>
      <w:r w:rsidR="00BA711E">
        <w:t xml:space="preserve">evidence demonstrates that </w:t>
      </w:r>
      <w:r w:rsidR="007D60AD">
        <w:t>Autistic</w:t>
      </w:r>
      <w:r w:rsidRPr="00304702">
        <w:t xml:space="preserve"> people with complex and high support needs experience poorer outcomes across all life domains and may require a range of targeted approaches</w:t>
      </w:r>
      <w:r w:rsidR="007E4644">
        <w:t>.</w:t>
      </w:r>
    </w:p>
    <w:p w14:paraId="0FBDB7B0" w14:textId="60AC968B" w:rsidR="00BE7307" w:rsidRPr="007E4644" w:rsidRDefault="00BE7307" w:rsidP="007E4644">
      <w:pPr>
        <w:pStyle w:val="ListParagraph"/>
        <w:numPr>
          <w:ilvl w:val="0"/>
          <w:numId w:val="13"/>
        </w:numPr>
      </w:pPr>
      <w:r w:rsidRPr="007E4644">
        <w:t xml:space="preserve">Include </w:t>
      </w:r>
      <w:r w:rsidRPr="007E4644">
        <w:rPr>
          <w:rFonts w:cs="Arial"/>
          <w:b/>
          <w:bCs/>
          <w:spacing w:val="-1"/>
        </w:rPr>
        <w:t>targeted action</w:t>
      </w:r>
      <w:r w:rsidR="0070296C">
        <w:rPr>
          <w:rFonts w:cs="Arial"/>
          <w:b/>
          <w:bCs/>
          <w:spacing w:val="-1"/>
        </w:rPr>
        <w:t>s</w:t>
      </w:r>
      <w:r w:rsidRPr="007E4644">
        <w:rPr>
          <w:rFonts w:cs="Arial"/>
          <w:b/>
          <w:bCs/>
          <w:spacing w:val="-1"/>
        </w:rPr>
        <w:t xml:space="preserve"> </w:t>
      </w:r>
      <w:r w:rsidR="0070296C" w:rsidRPr="0070296C">
        <w:rPr>
          <w:rFonts w:cs="Arial"/>
          <w:spacing w:val="-1"/>
        </w:rPr>
        <w:t>commitment</w:t>
      </w:r>
      <w:r w:rsidR="0070296C">
        <w:rPr>
          <w:rFonts w:cs="Arial"/>
          <w:b/>
          <w:bCs/>
          <w:spacing w:val="-1"/>
        </w:rPr>
        <w:t xml:space="preserve"> </w:t>
      </w:r>
      <w:r w:rsidRPr="007E4644">
        <w:rPr>
          <w:rFonts w:cs="Arial"/>
          <w:spacing w:val="-1"/>
        </w:rPr>
        <w:t xml:space="preserve">for </w:t>
      </w:r>
      <w:r w:rsidR="007D60AD">
        <w:rPr>
          <w:rFonts w:cs="Arial"/>
          <w:spacing w:val="-1"/>
        </w:rPr>
        <w:t>Autistic</w:t>
      </w:r>
      <w:r w:rsidRPr="007E4644">
        <w:rPr>
          <w:rFonts w:cs="Arial"/>
          <w:spacing w:val="-1"/>
        </w:rPr>
        <w:t xml:space="preserve"> people with complex and high support needs.</w:t>
      </w:r>
    </w:p>
    <w:p w14:paraId="30133780" w14:textId="5E75A1D0" w:rsidR="007E4644" w:rsidRPr="007E4644" w:rsidRDefault="00BE7307" w:rsidP="007E4644">
      <w:pPr>
        <w:pStyle w:val="ListBullet"/>
        <w:numPr>
          <w:ilvl w:val="0"/>
          <w:numId w:val="8"/>
        </w:numPr>
        <w:rPr>
          <w:lang w:val="en-AU"/>
        </w:rPr>
      </w:pPr>
      <w:r w:rsidRPr="00AA292B">
        <w:rPr>
          <w:lang w:val="en-AU"/>
        </w:rPr>
        <w:t xml:space="preserve">The final Strategy must adequately capture the needs of older </w:t>
      </w:r>
      <w:r w:rsidR="007D60AD">
        <w:rPr>
          <w:lang w:val="en-AU"/>
        </w:rPr>
        <w:t>Autistic</w:t>
      </w:r>
      <w:r w:rsidRPr="00AA292B">
        <w:rPr>
          <w:lang w:val="en-AU"/>
        </w:rPr>
        <w:t xml:space="preserve"> people. To</w:t>
      </w:r>
      <w:r w:rsidR="007E4644">
        <w:rPr>
          <w:lang w:val="en-AU"/>
        </w:rPr>
        <w:t xml:space="preserve"> </w:t>
      </w:r>
      <w:r w:rsidRPr="00AA292B">
        <w:rPr>
          <w:lang w:val="en-AU"/>
        </w:rPr>
        <w:t>facilitate this, the Department must:</w:t>
      </w:r>
    </w:p>
    <w:p w14:paraId="33710E3E" w14:textId="77777777" w:rsidR="00357318" w:rsidRDefault="00BE7307" w:rsidP="00357318">
      <w:pPr>
        <w:pStyle w:val="ListBullet"/>
        <w:numPr>
          <w:ilvl w:val="0"/>
          <w:numId w:val="14"/>
        </w:numPr>
        <w:rPr>
          <w:lang w:val="en-AU"/>
        </w:rPr>
      </w:pPr>
      <w:r w:rsidRPr="007E4644">
        <w:rPr>
          <w:lang w:val="en-AU"/>
        </w:rPr>
        <w:t>refer to AFDO’s Briefing Paper on Equitable Access to Disability Services and Supports for Older People.</w:t>
      </w:r>
    </w:p>
    <w:p w14:paraId="6EC0E1D2" w14:textId="2754F575" w:rsidR="00357318" w:rsidRDefault="00BE7307" w:rsidP="00357318">
      <w:pPr>
        <w:pStyle w:val="ListBullet"/>
        <w:numPr>
          <w:ilvl w:val="0"/>
          <w:numId w:val="14"/>
        </w:numPr>
        <w:rPr>
          <w:lang w:val="en-AU"/>
        </w:rPr>
      </w:pPr>
      <w:r w:rsidRPr="00357318">
        <w:rPr>
          <w:lang w:val="en-AU"/>
        </w:rPr>
        <w:t xml:space="preserve">Ensure the final Strategy adequately captures the policy context affecting the provision of services and supports to older </w:t>
      </w:r>
      <w:r w:rsidR="007D60AD">
        <w:rPr>
          <w:lang w:val="en-AU"/>
        </w:rPr>
        <w:t>Autistic</w:t>
      </w:r>
      <w:r w:rsidRPr="00357318">
        <w:rPr>
          <w:lang w:val="en-AU"/>
        </w:rPr>
        <w:t xml:space="preserve"> people.</w:t>
      </w:r>
    </w:p>
    <w:p w14:paraId="4F16F49E" w14:textId="5BB56A9E" w:rsidR="00357318" w:rsidRDefault="00BE7307" w:rsidP="00357318">
      <w:pPr>
        <w:pStyle w:val="ListBullet"/>
        <w:numPr>
          <w:ilvl w:val="0"/>
          <w:numId w:val="14"/>
        </w:numPr>
        <w:rPr>
          <w:lang w:val="en-AU"/>
        </w:rPr>
      </w:pPr>
      <w:r w:rsidRPr="00357318">
        <w:rPr>
          <w:lang w:val="en-AU"/>
        </w:rPr>
        <w:t xml:space="preserve">Ensure the final Strategy adequately captures the fact that some </w:t>
      </w:r>
      <w:r w:rsidR="007D60AD">
        <w:rPr>
          <w:lang w:val="en-AU"/>
        </w:rPr>
        <w:t>Autistic</w:t>
      </w:r>
      <w:r w:rsidRPr="00357318">
        <w:rPr>
          <w:lang w:val="en-AU"/>
        </w:rPr>
        <w:t xml:space="preserve"> Australians</w:t>
      </w:r>
      <w:r w:rsidR="00357318">
        <w:rPr>
          <w:lang w:val="en-AU"/>
        </w:rPr>
        <w:t>,</w:t>
      </w:r>
      <w:r w:rsidR="00357318" w:rsidRPr="00357318">
        <w:rPr>
          <w:lang w:val="en-AU"/>
        </w:rPr>
        <w:t xml:space="preserve"> particularly</w:t>
      </w:r>
      <w:r w:rsidRPr="00357318">
        <w:rPr>
          <w:lang w:val="en-AU"/>
        </w:rPr>
        <w:t xml:space="preserve"> those with comorbidities, may need to access aged care services prior to age 65.</w:t>
      </w:r>
    </w:p>
    <w:p w14:paraId="4A54E9FE" w14:textId="69A16B99" w:rsidR="00BE7307" w:rsidRPr="00357318" w:rsidRDefault="00BE7307" w:rsidP="00357318">
      <w:pPr>
        <w:pStyle w:val="ListBullet"/>
        <w:numPr>
          <w:ilvl w:val="0"/>
          <w:numId w:val="14"/>
        </w:numPr>
        <w:rPr>
          <w:lang w:val="en-AU"/>
        </w:rPr>
      </w:pPr>
      <w:r w:rsidRPr="00357318">
        <w:rPr>
          <w:lang w:val="en-AU"/>
        </w:rPr>
        <w:t>Ensure the final Strategy, Implementation Plan</w:t>
      </w:r>
      <w:r w:rsidR="00357318">
        <w:rPr>
          <w:lang w:val="en-AU"/>
        </w:rPr>
        <w:t>,</w:t>
      </w:r>
      <w:r w:rsidRPr="00357318">
        <w:rPr>
          <w:lang w:val="en-AU"/>
        </w:rPr>
        <w:t xml:space="preserve"> and Outcomes Framework allow for the comparison of outcomes between older and younger </w:t>
      </w:r>
      <w:r w:rsidR="007D60AD">
        <w:rPr>
          <w:lang w:val="en-AU"/>
        </w:rPr>
        <w:t>Autistic</w:t>
      </w:r>
      <w:r w:rsidRPr="00357318">
        <w:rPr>
          <w:lang w:val="en-AU"/>
        </w:rPr>
        <w:t xml:space="preserve"> people.</w:t>
      </w:r>
    </w:p>
    <w:p w14:paraId="36A18D77" w14:textId="77777777" w:rsidR="00BE7307" w:rsidRPr="00AA292B" w:rsidRDefault="00BE7307" w:rsidP="00BE7307">
      <w:pPr>
        <w:rPr>
          <w:lang w:val="en-AU"/>
        </w:rPr>
      </w:pPr>
    </w:p>
    <w:p w14:paraId="359EAE7B" w14:textId="1BB7983E" w:rsidR="00460D00" w:rsidRDefault="00B421C3" w:rsidP="00B421C3">
      <w:pPr>
        <w:pStyle w:val="Heading2"/>
        <w:numPr>
          <w:ilvl w:val="0"/>
          <w:numId w:val="5"/>
        </w:numPr>
        <w:rPr>
          <w:rFonts w:cs="Arial"/>
          <w:sz w:val="32"/>
          <w:szCs w:val="32"/>
        </w:rPr>
      </w:pPr>
      <w:r>
        <w:rPr>
          <w:rFonts w:cs="Arial"/>
          <w:sz w:val="32"/>
          <w:szCs w:val="32"/>
        </w:rPr>
        <w:lastRenderedPageBreak/>
        <w:t>What</w:t>
      </w:r>
      <w:r w:rsidR="00015051">
        <w:rPr>
          <w:rFonts w:cs="Arial"/>
          <w:sz w:val="32"/>
          <w:szCs w:val="32"/>
        </w:rPr>
        <w:t xml:space="preserve"> is</w:t>
      </w:r>
      <w:r>
        <w:rPr>
          <w:rFonts w:cs="Arial"/>
          <w:sz w:val="32"/>
          <w:szCs w:val="32"/>
        </w:rPr>
        <w:t xml:space="preserve"> missing from the Strategy?</w:t>
      </w:r>
    </w:p>
    <w:p w14:paraId="2C7679AB" w14:textId="77777777" w:rsidR="008555F8" w:rsidRPr="00AA292B" w:rsidRDefault="008555F8" w:rsidP="008555F8">
      <w:pPr>
        <w:rPr>
          <w:lang w:val="en-AU"/>
        </w:rPr>
      </w:pPr>
      <w:r w:rsidRPr="00AA292B">
        <w:rPr>
          <w:lang w:val="en-AU"/>
        </w:rPr>
        <w:t>Many of these matters will be covered in greater detail elsewhere in this submission. In summary, however, AFDO asserts that the following elements are missing from the draft:</w:t>
      </w:r>
    </w:p>
    <w:p w14:paraId="5FBD7B10" w14:textId="650EC1FD" w:rsidR="0070296C" w:rsidRDefault="008555F8" w:rsidP="0070296C">
      <w:pPr>
        <w:pStyle w:val="ListBullet"/>
        <w:ind w:left="714" w:hanging="357"/>
      </w:pPr>
      <w:r w:rsidRPr="00AA292B">
        <w:t xml:space="preserve">Specificity and </w:t>
      </w:r>
      <w:r w:rsidR="002F009B">
        <w:t>d</w:t>
      </w:r>
      <w:r w:rsidRPr="00AA292B">
        <w:t>etail</w:t>
      </w:r>
      <w:r w:rsidR="00BA72B2">
        <w:t xml:space="preserve">. </w:t>
      </w:r>
      <w:r w:rsidRPr="00AA292B">
        <w:t>The Strategy adopts vague language</w:t>
      </w:r>
      <w:r w:rsidR="003331FE">
        <w:t>,</w:t>
      </w:r>
      <w:r w:rsidRPr="00AA292B">
        <w:t xml:space="preserve"> commonly utilising </w:t>
      </w:r>
      <w:r w:rsidR="002F009B">
        <w:t xml:space="preserve">nebulous </w:t>
      </w:r>
      <w:r w:rsidRPr="00AA292B">
        <w:t xml:space="preserve">words such as “consider”, “explore”, and “encourage”. We </w:t>
      </w:r>
      <w:r w:rsidRPr="00AA292B">
        <w:rPr>
          <w:lang w:val="en-AU"/>
        </w:rPr>
        <w:t xml:space="preserve">understand that additional detail in relation to how the commitments outlined under the </w:t>
      </w:r>
      <w:r w:rsidR="00BA72B2">
        <w:rPr>
          <w:lang w:val="en-AU"/>
        </w:rPr>
        <w:t>S</w:t>
      </w:r>
      <w:r w:rsidRPr="00AA292B">
        <w:rPr>
          <w:lang w:val="en-AU"/>
        </w:rPr>
        <w:t xml:space="preserve">trategy will be implemented are to be articulated in </w:t>
      </w:r>
      <w:r w:rsidR="00BA72B2">
        <w:rPr>
          <w:lang w:val="en-AU"/>
        </w:rPr>
        <w:t>A</w:t>
      </w:r>
      <w:r w:rsidRPr="00AA292B">
        <w:rPr>
          <w:lang w:val="en-AU"/>
        </w:rPr>
        <w:t xml:space="preserve">ction </w:t>
      </w:r>
      <w:r w:rsidR="00BA72B2">
        <w:rPr>
          <w:lang w:val="en-AU"/>
        </w:rPr>
        <w:t>P</w:t>
      </w:r>
      <w:r w:rsidRPr="00AA292B">
        <w:rPr>
          <w:lang w:val="en-AU"/>
        </w:rPr>
        <w:t xml:space="preserve">lans that are yet to be developed. </w:t>
      </w:r>
      <w:r w:rsidRPr="0070296C">
        <w:rPr>
          <w:lang w:val="en-AU"/>
        </w:rPr>
        <w:t xml:space="preserve">In the interim, however, we would like to see </w:t>
      </w:r>
      <w:r w:rsidRPr="00AA292B">
        <w:t>clear timelines, defined responsibilities, and measurable outcomes articulated under the Strategy to maximi</w:t>
      </w:r>
      <w:r w:rsidR="00BA72B2">
        <w:t xml:space="preserve">se </w:t>
      </w:r>
      <w:r w:rsidRPr="00AA292B">
        <w:t xml:space="preserve">accountability and progress. </w:t>
      </w:r>
    </w:p>
    <w:p w14:paraId="582664FE" w14:textId="6B8EC8E2" w:rsidR="008555F8" w:rsidRPr="00AA292B" w:rsidRDefault="008555F8" w:rsidP="0070296C">
      <w:pPr>
        <w:pStyle w:val="ListBullet"/>
        <w:numPr>
          <w:ilvl w:val="0"/>
          <w:numId w:val="0"/>
        </w:numPr>
        <w:ind w:left="714"/>
      </w:pPr>
      <w:r w:rsidRPr="00AA292B">
        <w:t>The absence of any clear commitments or targets to improve outcomes for people with complex and high support needs is particularly problematic.</w:t>
      </w:r>
    </w:p>
    <w:p w14:paraId="53FD563D" w14:textId="77777777" w:rsidR="008555F8" w:rsidRPr="00AA292B" w:rsidRDefault="008555F8" w:rsidP="00147620">
      <w:pPr>
        <w:pStyle w:val="ListBullet"/>
        <w:ind w:left="714" w:hanging="357"/>
      </w:pPr>
      <w:r w:rsidRPr="00AA292B">
        <w:t>A clear articulation of the level of funding/resourcing that will be committed to ensure the long-term success of the Strategy.</w:t>
      </w:r>
    </w:p>
    <w:p w14:paraId="38E24691" w14:textId="77777777" w:rsidR="008555F8" w:rsidRPr="00AA292B" w:rsidRDefault="008555F8" w:rsidP="00147620">
      <w:pPr>
        <w:pStyle w:val="ListBullet"/>
        <w:ind w:left="714" w:hanging="357"/>
        <w:rPr>
          <w:lang w:val="en-AU"/>
        </w:rPr>
      </w:pPr>
      <w:r w:rsidRPr="00AA292B">
        <w:rPr>
          <w:lang w:val="en-AU"/>
        </w:rPr>
        <w:t xml:space="preserve">An acknowledgement of the human rights model of disability which </w:t>
      </w:r>
      <w:r>
        <w:rPr>
          <w:lang w:val="en-AU"/>
        </w:rPr>
        <w:t>is</w:t>
      </w:r>
      <w:r w:rsidRPr="00AA292B">
        <w:rPr>
          <w:lang w:val="en-AU"/>
        </w:rPr>
        <w:t xml:space="preserve"> fundamental to the effective implementation of the </w:t>
      </w:r>
      <w:r w:rsidRPr="001576C4">
        <w:rPr>
          <w:i/>
          <w:iCs/>
          <w:lang w:val="en-AU"/>
        </w:rPr>
        <w:t>Convention on the Rights of Persons with Disabilities</w:t>
      </w:r>
      <w:r w:rsidRPr="00AA292B">
        <w:rPr>
          <w:lang w:val="en-AU"/>
        </w:rPr>
        <w:t xml:space="preserve"> (CRP</w:t>
      </w:r>
      <w:r>
        <w:rPr>
          <w:lang w:val="en-AU"/>
        </w:rPr>
        <w:t>D).</w:t>
      </w:r>
    </w:p>
    <w:p w14:paraId="5BB9EB6F" w14:textId="7D374851" w:rsidR="008555F8" w:rsidRPr="00AA292B" w:rsidRDefault="008555F8" w:rsidP="00147620">
      <w:pPr>
        <w:pStyle w:val="ListBullet"/>
        <w:ind w:left="714" w:hanging="357"/>
        <w:rPr>
          <w:lang w:val="en-AU"/>
        </w:rPr>
      </w:pPr>
      <w:r w:rsidRPr="00AA292B">
        <w:rPr>
          <w:lang w:val="en-AU"/>
        </w:rPr>
        <w:t xml:space="preserve">A problem statement which clearly articulates the specific service gaps and issues the </w:t>
      </w:r>
      <w:r w:rsidR="001576C4">
        <w:rPr>
          <w:lang w:val="en-AU"/>
        </w:rPr>
        <w:t>S</w:t>
      </w:r>
      <w:r w:rsidRPr="00AA292B">
        <w:rPr>
          <w:lang w:val="en-AU"/>
        </w:rPr>
        <w:t>trategy is seeking to resolve.</w:t>
      </w:r>
    </w:p>
    <w:p w14:paraId="0689FB76" w14:textId="242EF8E6" w:rsidR="008555F8" w:rsidRPr="00AA292B" w:rsidRDefault="008555F8" w:rsidP="00147620">
      <w:pPr>
        <w:pStyle w:val="ListBullet"/>
        <w:ind w:left="714" w:hanging="357"/>
      </w:pPr>
      <w:r w:rsidRPr="00AA292B">
        <w:t>An interjurisdictional approach that seeks to drive change across all levels of government and address matters that largely fall to the responsibility of state and territory governments. At present, whole areas such as housing, justice</w:t>
      </w:r>
      <w:r w:rsidR="00A75BEC">
        <w:t>,</w:t>
      </w:r>
      <w:r w:rsidRPr="00AA292B">
        <w:t xml:space="preserve"> and education are </w:t>
      </w:r>
      <w:r>
        <w:t>largely absent</w:t>
      </w:r>
      <w:r w:rsidRPr="00AA292B">
        <w:t xml:space="preserve"> from the document.</w:t>
      </w:r>
    </w:p>
    <w:p w14:paraId="76809430" w14:textId="7DFBB161" w:rsidR="008555F8" w:rsidRPr="00AA292B" w:rsidRDefault="008555F8" w:rsidP="00147620">
      <w:pPr>
        <w:pStyle w:val="ListBullet"/>
        <w:ind w:left="714" w:hanging="357"/>
      </w:pPr>
      <w:r w:rsidRPr="00AA292B">
        <w:t xml:space="preserve">Alignment with the </w:t>
      </w:r>
      <w:r w:rsidR="00A75BEC">
        <w:t>O</w:t>
      </w:r>
      <w:r w:rsidRPr="00AA292B">
        <w:t xml:space="preserve">utcome </w:t>
      </w:r>
      <w:r w:rsidR="00A75BEC">
        <w:t>A</w:t>
      </w:r>
      <w:r w:rsidRPr="00AA292B">
        <w:t xml:space="preserve">reas and </w:t>
      </w:r>
      <w:r w:rsidR="00A75BEC">
        <w:t>P</w:t>
      </w:r>
      <w:r w:rsidRPr="00AA292B">
        <w:t xml:space="preserve">olicy </w:t>
      </w:r>
      <w:r w:rsidR="00E960A4">
        <w:t>Priorities</w:t>
      </w:r>
      <w:r w:rsidRPr="00AA292B">
        <w:t xml:space="preserve"> included underneath Australia’s Disability Strategy 2021-31.</w:t>
      </w:r>
    </w:p>
    <w:p w14:paraId="3DC1E9BA" w14:textId="387082C0" w:rsidR="008555F8" w:rsidRPr="00AD0DE3" w:rsidRDefault="008555F8" w:rsidP="00147620">
      <w:pPr>
        <w:pStyle w:val="ListBullet"/>
        <w:ind w:left="714" w:hanging="357"/>
        <w:rPr>
          <w:rFonts w:cs="Arial"/>
        </w:rPr>
      </w:pPr>
      <w:r w:rsidRPr="00AA292B">
        <w:rPr>
          <w:lang w:val="en-AU"/>
        </w:rPr>
        <w:t xml:space="preserve">An intersectional approach that properly acknowledges and addresses the needs of people with </w:t>
      </w:r>
      <w:r>
        <w:rPr>
          <w:lang w:val="en-AU"/>
        </w:rPr>
        <w:t xml:space="preserve">complex and </w:t>
      </w:r>
      <w:r w:rsidRPr="00AA292B">
        <w:rPr>
          <w:lang w:val="en-AU"/>
        </w:rPr>
        <w:t xml:space="preserve">high </w:t>
      </w:r>
      <w:r w:rsidR="00E960A4">
        <w:rPr>
          <w:lang w:val="en-AU"/>
        </w:rPr>
        <w:t>support needs</w:t>
      </w:r>
      <w:r w:rsidRPr="00AA292B">
        <w:rPr>
          <w:lang w:val="en-AU"/>
        </w:rPr>
        <w:t xml:space="preserve">. </w:t>
      </w:r>
      <w:r w:rsidRPr="00AD0DE3">
        <w:rPr>
          <w:rFonts w:cs="Arial"/>
          <w:color w:val="0D0D0D"/>
        </w:rPr>
        <w:t xml:space="preserve">There is concern that the </w:t>
      </w:r>
      <w:r w:rsidR="00E960A4">
        <w:rPr>
          <w:rFonts w:cs="Arial"/>
          <w:color w:val="0D0D0D"/>
        </w:rPr>
        <w:t>S</w:t>
      </w:r>
      <w:r w:rsidRPr="00AD0DE3">
        <w:rPr>
          <w:rFonts w:cs="Arial"/>
          <w:color w:val="0D0D0D"/>
        </w:rPr>
        <w:t xml:space="preserve">trategy does not adequately include the voices of all </w:t>
      </w:r>
      <w:r w:rsidR="007D60AD">
        <w:rPr>
          <w:rFonts w:cs="Arial"/>
          <w:color w:val="0D0D0D"/>
        </w:rPr>
        <w:t>Autistic</w:t>
      </w:r>
      <w:r w:rsidRPr="00AD0DE3">
        <w:rPr>
          <w:rFonts w:cs="Arial"/>
          <w:color w:val="0D0D0D"/>
        </w:rPr>
        <w:t xml:space="preserve"> individuals, especially those from marginali</w:t>
      </w:r>
      <w:r w:rsidR="00B84152">
        <w:rPr>
          <w:rFonts w:cs="Arial"/>
          <w:color w:val="0D0D0D"/>
        </w:rPr>
        <w:t>s</w:t>
      </w:r>
      <w:r w:rsidRPr="00AD0DE3">
        <w:rPr>
          <w:rFonts w:cs="Arial"/>
          <w:color w:val="0D0D0D"/>
        </w:rPr>
        <w:t>ed communities such as Indigenous Australians and those with higher support needs.</w:t>
      </w:r>
    </w:p>
    <w:p w14:paraId="53305AD0" w14:textId="6B57D581" w:rsidR="008555F8" w:rsidRPr="00AA292B" w:rsidRDefault="008555F8" w:rsidP="00147620">
      <w:pPr>
        <w:pStyle w:val="ListBullet"/>
        <w:ind w:left="714" w:hanging="357"/>
        <w:rPr>
          <w:lang w:val="en-AU"/>
        </w:rPr>
      </w:pPr>
      <w:r w:rsidRPr="00AA292B">
        <w:rPr>
          <w:lang w:val="en-AU"/>
        </w:rPr>
        <w:t xml:space="preserve">Specific commitments aimed at strengthening and improving the availability of independent disability </w:t>
      </w:r>
      <w:r w:rsidR="00B84152" w:rsidRPr="00AA292B">
        <w:rPr>
          <w:lang w:val="en-AU"/>
        </w:rPr>
        <w:t>advocacy,</w:t>
      </w:r>
      <w:r w:rsidRPr="00AA292B">
        <w:rPr>
          <w:lang w:val="en-AU"/>
        </w:rPr>
        <w:t xml:space="preserve"> including </w:t>
      </w:r>
      <w:r w:rsidR="00B84152">
        <w:rPr>
          <w:lang w:val="en-AU"/>
        </w:rPr>
        <w:t xml:space="preserve">both </w:t>
      </w:r>
      <w:r w:rsidR="0070296C">
        <w:rPr>
          <w:lang w:val="en-AU"/>
        </w:rPr>
        <w:t xml:space="preserve">systemic and </w:t>
      </w:r>
      <w:r w:rsidRPr="00AA292B">
        <w:rPr>
          <w:lang w:val="en-AU"/>
        </w:rPr>
        <w:t>individual advocacy</w:t>
      </w:r>
      <w:r w:rsidR="0070296C">
        <w:rPr>
          <w:lang w:val="en-AU"/>
        </w:rPr>
        <w:t xml:space="preserve"> with appropriate funding.</w:t>
      </w:r>
    </w:p>
    <w:p w14:paraId="0118BA07" w14:textId="605C5492" w:rsidR="008555F8" w:rsidRPr="00AA292B" w:rsidRDefault="008555F8" w:rsidP="00147620">
      <w:pPr>
        <w:pStyle w:val="ListBullet"/>
        <w:ind w:left="714" w:hanging="357"/>
        <w:rPr>
          <w:lang w:val="en-AU"/>
        </w:rPr>
      </w:pPr>
      <w:r w:rsidRPr="00AA292B">
        <w:rPr>
          <w:lang w:val="en-AU"/>
        </w:rPr>
        <w:t xml:space="preserve">A commitment </w:t>
      </w:r>
      <w:r w:rsidR="00F34864">
        <w:rPr>
          <w:lang w:val="en-AU"/>
        </w:rPr>
        <w:t>by</w:t>
      </w:r>
      <w:r w:rsidRPr="00AA292B">
        <w:rPr>
          <w:lang w:val="en-AU"/>
        </w:rPr>
        <w:t xml:space="preserve"> Government to develop a separate autism healthcare capability framework that includes clear targets, outcomes, and measures for accountability</w:t>
      </w:r>
      <w:r w:rsidR="0070296C">
        <w:rPr>
          <w:lang w:val="en-AU"/>
        </w:rPr>
        <w:t xml:space="preserve"> with this reviewed at a minimum of </w:t>
      </w:r>
      <w:r w:rsidRPr="00AA292B">
        <w:rPr>
          <w:lang w:val="en-AU"/>
        </w:rPr>
        <w:t>every three years.</w:t>
      </w:r>
    </w:p>
    <w:p w14:paraId="2CA55791" w14:textId="59A5B864" w:rsidR="008555F8" w:rsidRPr="00AA292B" w:rsidRDefault="008555F8" w:rsidP="00147620">
      <w:pPr>
        <w:pStyle w:val="ListBullet"/>
        <w:ind w:left="714" w:hanging="357"/>
      </w:pPr>
      <w:r w:rsidRPr="00AA292B">
        <w:rPr>
          <w:lang w:val="en-AU"/>
        </w:rPr>
        <w:t xml:space="preserve">Relevant reform agendas arising out of the Royal Commission into Violence, Abuse, Neglect and Exploitation of People with Disability. We recommend the Department refer to </w:t>
      </w:r>
      <w:hyperlink r:id="rId20" w:history="1">
        <w:r w:rsidRPr="007409EF">
          <w:rPr>
            <w:rStyle w:val="Hyperlink"/>
            <w:lang w:val="en-AU"/>
          </w:rPr>
          <w:t>AFDO’s comprehensive report card</w:t>
        </w:r>
      </w:hyperlink>
      <w:r w:rsidRPr="00AA292B">
        <w:rPr>
          <w:lang w:val="en-AU"/>
        </w:rPr>
        <w:t xml:space="preserve"> on the 222 recommendations arising out of the Royal Commission, which was </w:t>
      </w:r>
      <w:r w:rsidR="0070296C">
        <w:rPr>
          <w:lang w:val="en-AU"/>
        </w:rPr>
        <w:t xml:space="preserve">comprehensively </w:t>
      </w:r>
      <w:r w:rsidRPr="00AA292B">
        <w:rPr>
          <w:lang w:val="en-AU"/>
        </w:rPr>
        <w:t xml:space="preserve">developed in partnership </w:t>
      </w:r>
      <w:bookmarkStart w:id="10" w:name="_Hlk169275507"/>
      <w:r w:rsidRPr="00AA292B">
        <w:rPr>
          <w:lang w:val="en-AU"/>
        </w:rPr>
        <w:t xml:space="preserve">with our </w:t>
      </w:r>
      <w:r w:rsidR="0070296C">
        <w:rPr>
          <w:lang w:val="en-AU"/>
        </w:rPr>
        <w:t xml:space="preserve">then, thirty six </w:t>
      </w:r>
      <w:r w:rsidR="00C5239F">
        <w:rPr>
          <w:lang w:val="en-AU"/>
        </w:rPr>
        <w:t>M</w:t>
      </w:r>
      <w:r w:rsidRPr="00AA292B">
        <w:rPr>
          <w:lang w:val="en-AU"/>
        </w:rPr>
        <w:t>ember</w:t>
      </w:r>
      <w:r w:rsidR="0070296C">
        <w:rPr>
          <w:lang w:val="en-AU"/>
        </w:rPr>
        <w:t xml:space="preserve"> organisations.</w:t>
      </w:r>
    </w:p>
    <w:bookmarkEnd w:id="10"/>
    <w:p w14:paraId="3956E636" w14:textId="77777777" w:rsidR="0070296C" w:rsidRPr="00AA292B" w:rsidRDefault="008555F8" w:rsidP="0070296C">
      <w:pPr>
        <w:pStyle w:val="ListBullet"/>
        <w:ind w:left="714" w:hanging="357"/>
      </w:pPr>
      <w:r w:rsidRPr="00AA292B">
        <w:rPr>
          <w:lang w:val="en-AU"/>
        </w:rPr>
        <w:lastRenderedPageBreak/>
        <w:t xml:space="preserve">Relevant reform agendas arising out of the Independent Review of the NDIS. We recommend the Department refer to </w:t>
      </w:r>
      <w:hyperlink r:id="rId21" w:history="1">
        <w:r w:rsidRPr="00C5239F">
          <w:rPr>
            <w:rStyle w:val="Hyperlink"/>
            <w:lang w:val="en-AU"/>
          </w:rPr>
          <w:t>AFDO’s official response</w:t>
        </w:r>
      </w:hyperlink>
      <w:r w:rsidRPr="00AA292B">
        <w:rPr>
          <w:lang w:val="en-AU"/>
        </w:rPr>
        <w:t xml:space="preserve"> to the recommendations and supporting actions arising out of the </w:t>
      </w:r>
      <w:r w:rsidR="00C5239F">
        <w:rPr>
          <w:lang w:val="en-AU"/>
        </w:rPr>
        <w:t>R</w:t>
      </w:r>
      <w:r w:rsidRPr="00AA292B">
        <w:rPr>
          <w:lang w:val="en-AU"/>
        </w:rPr>
        <w:t xml:space="preserve">eview, which was developed in partnership </w:t>
      </w:r>
      <w:r w:rsidR="0070296C" w:rsidRPr="00AA292B">
        <w:rPr>
          <w:lang w:val="en-AU"/>
        </w:rPr>
        <w:t xml:space="preserve">with our </w:t>
      </w:r>
      <w:r w:rsidR="0070296C">
        <w:rPr>
          <w:lang w:val="en-AU"/>
        </w:rPr>
        <w:t>then, thirty six M</w:t>
      </w:r>
      <w:r w:rsidR="0070296C" w:rsidRPr="00AA292B">
        <w:rPr>
          <w:lang w:val="en-AU"/>
        </w:rPr>
        <w:t>ember</w:t>
      </w:r>
      <w:r w:rsidR="0070296C">
        <w:rPr>
          <w:lang w:val="en-AU"/>
        </w:rPr>
        <w:t xml:space="preserve"> organisations.</w:t>
      </w:r>
    </w:p>
    <w:p w14:paraId="296328E4" w14:textId="5F8A39C4" w:rsidR="008555F8" w:rsidRPr="00AA292B" w:rsidRDefault="008555F8" w:rsidP="008555F8">
      <w:pPr>
        <w:rPr>
          <w:lang w:val="en-AU"/>
        </w:rPr>
      </w:pPr>
      <w:r w:rsidRPr="00AA292B">
        <w:rPr>
          <w:lang w:val="en-AU"/>
        </w:rPr>
        <w:t xml:space="preserve">We </w:t>
      </w:r>
      <w:r w:rsidR="0070296C">
        <w:rPr>
          <w:lang w:val="en-AU"/>
        </w:rPr>
        <w:t xml:space="preserve">also </w:t>
      </w:r>
      <w:r w:rsidRPr="00AA292B">
        <w:rPr>
          <w:lang w:val="en-AU"/>
        </w:rPr>
        <w:t xml:space="preserve">note that a wide range of measures that were recommended by the Select Committee on Autism in its report </w:t>
      </w:r>
      <w:r w:rsidR="006462CC">
        <w:rPr>
          <w:lang w:val="en-AU"/>
        </w:rPr>
        <w:t>entitled ‘</w:t>
      </w:r>
      <w:hyperlink r:id="rId22" w:anchor=":~:text=Generic%20disability%20strategies%20have%20proven,life%20outcomes%20for%20autistic%20people.&amp;text=The%20National%20Autism%20Strategy%20should,actions%20to%20support%20vulnerable%20cohorts." w:history="1">
        <w:r w:rsidR="006462CC" w:rsidRPr="004A2878">
          <w:rPr>
            <w:rStyle w:val="Hyperlink"/>
            <w:lang w:val="en-AU"/>
          </w:rPr>
          <w:t>S</w:t>
        </w:r>
        <w:r w:rsidRPr="004A2878">
          <w:rPr>
            <w:rStyle w:val="Hyperlink"/>
            <w:lang w:val="en-AU"/>
          </w:rPr>
          <w:t xml:space="preserve">ervices, support and life outcomes for </w:t>
        </w:r>
        <w:r w:rsidR="007D60AD">
          <w:rPr>
            <w:rStyle w:val="Hyperlink"/>
            <w:lang w:val="en-AU"/>
          </w:rPr>
          <w:t>Autistic</w:t>
        </w:r>
        <w:r w:rsidRPr="004A2878">
          <w:rPr>
            <w:rStyle w:val="Hyperlink"/>
            <w:lang w:val="en-AU"/>
          </w:rPr>
          <w:t xml:space="preserve"> </w:t>
        </w:r>
        <w:r w:rsidR="006462CC" w:rsidRPr="004A2878">
          <w:rPr>
            <w:rStyle w:val="Hyperlink"/>
            <w:lang w:val="en-AU"/>
          </w:rPr>
          <w:t>Australians</w:t>
        </w:r>
      </w:hyperlink>
      <w:r w:rsidR="006462CC">
        <w:rPr>
          <w:lang w:val="en-AU"/>
        </w:rPr>
        <w:t>’</w:t>
      </w:r>
      <w:r w:rsidRPr="00AA292B">
        <w:rPr>
          <w:lang w:val="en-AU"/>
        </w:rPr>
        <w:t xml:space="preserve"> are completely absent from the draft Strategy, including:</w:t>
      </w:r>
    </w:p>
    <w:p w14:paraId="27B79A8D" w14:textId="77777777" w:rsidR="004A2878" w:rsidRDefault="008555F8" w:rsidP="004A2878">
      <w:pPr>
        <w:pStyle w:val="ListBullet"/>
        <w:numPr>
          <w:ilvl w:val="0"/>
          <w:numId w:val="16"/>
        </w:numPr>
        <w:rPr>
          <w:lang w:val="en-AU"/>
        </w:rPr>
      </w:pPr>
      <w:r w:rsidRPr="00AA292B">
        <w:rPr>
          <w:lang w:val="en-AU"/>
        </w:rPr>
        <w:t>The development of a National Autism Advocacy Plan</w:t>
      </w:r>
      <w:r w:rsidR="004A2878">
        <w:rPr>
          <w:lang w:val="en-AU"/>
        </w:rPr>
        <w:t>.</w:t>
      </w:r>
    </w:p>
    <w:p w14:paraId="79DB55CE" w14:textId="77777777" w:rsidR="004A2878" w:rsidRDefault="008555F8" w:rsidP="004A2878">
      <w:pPr>
        <w:pStyle w:val="ListBullet"/>
        <w:numPr>
          <w:ilvl w:val="0"/>
          <w:numId w:val="16"/>
        </w:numPr>
        <w:rPr>
          <w:lang w:val="en-AU"/>
        </w:rPr>
      </w:pPr>
      <w:r w:rsidRPr="004A2878">
        <w:rPr>
          <w:lang w:val="en-AU"/>
        </w:rPr>
        <w:t>The development of a National Autism Workforce Plan</w:t>
      </w:r>
    </w:p>
    <w:p w14:paraId="2AE28902" w14:textId="77777777" w:rsidR="004A2878" w:rsidRDefault="008555F8" w:rsidP="004A2878">
      <w:pPr>
        <w:pStyle w:val="ListBullet"/>
        <w:numPr>
          <w:ilvl w:val="0"/>
          <w:numId w:val="16"/>
        </w:numPr>
        <w:rPr>
          <w:lang w:val="en-AU"/>
        </w:rPr>
      </w:pPr>
      <w:r w:rsidRPr="004A2878">
        <w:rPr>
          <w:lang w:val="en-AU"/>
        </w:rPr>
        <w:t>The development of a National Autism Mental Health Plan aimed specifically at improving the treatment of people with autism who have co-occurring mental health conditions</w:t>
      </w:r>
      <w:r w:rsidR="004A2878">
        <w:rPr>
          <w:lang w:val="en-AU"/>
        </w:rPr>
        <w:t>.</w:t>
      </w:r>
    </w:p>
    <w:p w14:paraId="7AFA5759" w14:textId="77777777" w:rsidR="004A2878" w:rsidRDefault="008555F8" w:rsidP="004A2878">
      <w:pPr>
        <w:pStyle w:val="ListBullet"/>
        <w:numPr>
          <w:ilvl w:val="0"/>
          <w:numId w:val="16"/>
        </w:numPr>
        <w:rPr>
          <w:lang w:val="en-AU"/>
        </w:rPr>
      </w:pPr>
      <w:r w:rsidRPr="004A2878">
        <w:rPr>
          <w:lang w:val="en-AU"/>
        </w:rPr>
        <w:t>The development of guidelines on autism-friendly service design</w:t>
      </w:r>
      <w:r w:rsidR="004A2878">
        <w:rPr>
          <w:lang w:val="en-AU"/>
        </w:rPr>
        <w:t>.</w:t>
      </w:r>
    </w:p>
    <w:p w14:paraId="2C79E076" w14:textId="77777777" w:rsidR="004A2878" w:rsidRDefault="008555F8" w:rsidP="004A2878">
      <w:pPr>
        <w:pStyle w:val="ListBullet"/>
        <w:numPr>
          <w:ilvl w:val="0"/>
          <w:numId w:val="16"/>
        </w:numPr>
        <w:rPr>
          <w:lang w:val="en-AU"/>
        </w:rPr>
      </w:pPr>
      <w:r w:rsidRPr="004A2878">
        <w:rPr>
          <w:lang w:val="en-AU"/>
        </w:rPr>
        <w:t>The development of a National Autism Research Framework</w:t>
      </w:r>
      <w:r w:rsidR="004A2878">
        <w:rPr>
          <w:lang w:val="en-AU"/>
        </w:rPr>
        <w:t>.</w:t>
      </w:r>
    </w:p>
    <w:p w14:paraId="01AF587D" w14:textId="77777777" w:rsidR="004A2878" w:rsidRDefault="008555F8" w:rsidP="004A2878">
      <w:pPr>
        <w:pStyle w:val="ListBullet"/>
        <w:numPr>
          <w:ilvl w:val="0"/>
          <w:numId w:val="16"/>
        </w:numPr>
        <w:rPr>
          <w:lang w:val="en-AU"/>
        </w:rPr>
      </w:pPr>
      <w:r w:rsidRPr="004A2878">
        <w:rPr>
          <w:lang w:val="en-AU"/>
        </w:rPr>
        <w:t>The development of a National Autism Employment Framework and Transition to Work Roadmap</w:t>
      </w:r>
      <w:r w:rsidR="004A2878">
        <w:rPr>
          <w:lang w:val="en-AU"/>
        </w:rPr>
        <w:t>.</w:t>
      </w:r>
    </w:p>
    <w:p w14:paraId="76A34217" w14:textId="0A39950F" w:rsidR="004A2878" w:rsidRDefault="008555F8" w:rsidP="004A2878">
      <w:pPr>
        <w:pStyle w:val="ListBullet"/>
        <w:numPr>
          <w:ilvl w:val="0"/>
          <w:numId w:val="16"/>
        </w:numPr>
        <w:rPr>
          <w:lang w:val="en-AU"/>
        </w:rPr>
      </w:pPr>
      <w:r w:rsidRPr="004A2878">
        <w:rPr>
          <w:lang w:val="en-AU"/>
        </w:rPr>
        <w:t>The need for the health and wellbeing priority under the new National Autism Research Framework to include a focus on:</w:t>
      </w:r>
    </w:p>
    <w:p w14:paraId="227E2B9B" w14:textId="5F96E831" w:rsidR="00B978F3" w:rsidRPr="00B978F3" w:rsidRDefault="00B978F3" w:rsidP="00B978F3">
      <w:pPr>
        <w:pStyle w:val="ListBullet"/>
        <w:numPr>
          <w:ilvl w:val="1"/>
          <w:numId w:val="15"/>
        </w:numPr>
        <w:ind w:left="1491" w:hanging="357"/>
        <w:rPr>
          <w:lang w:val="en-AU"/>
        </w:rPr>
      </w:pPr>
      <w:r>
        <w:t>R</w:t>
      </w:r>
      <w:r w:rsidR="008555F8" w:rsidRPr="00AF24A3">
        <w:t xml:space="preserve">outine analysis and reporting of population health data for </w:t>
      </w:r>
      <w:r w:rsidR="007D60AD">
        <w:t>Autistic</w:t>
      </w:r>
      <w:r w:rsidR="008555F8" w:rsidRPr="00AF24A3">
        <w:t xml:space="preserve"> people, including health status, health service utilisation, health outcomes</w:t>
      </w:r>
      <w:r>
        <w:t>,</w:t>
      </w:r>
      <w:r w:rsidR="008555F8" w:rsidRPr="00AF24A3">
        <w:t xml:space="preserve"> and mortality </w:t>
      </w:r>
      <w:proofErr w:type="gramStart"/>
      <w:r w:rsidR="008555F8" w:rsidRPr="00AF24A3">
        <w:t>data;</w:t>
      </w:r>
      <w:proofErr w:type="gramEnd"/>
    </w:p>
    <w:p w14:paraId="226CD651" w14:textId="3F7607B7" w:rsidR="00B978F3" w:rsidRPr="00B978F3" w:rsidRDefault="00B978F3" w:rsidP="00B978F3">
      <w:pPr>
        <w:pStyle w:val="ListBullet"/>
        <w:numPr>
          <w:ilvl w:val="1"/>
          <w:numId w:val="15"/>
        </w:numPr>
        <w:ind w:left="1491" w:hanging="357"/>
        <w:rPr>
          <w:lang w:val="en-AU"/>
        </w:rPr>
      </w:pPr>
      <w:r>
        <w:t>T</w:t>
      </w:r>
      <w:r w:rsidR="008555F8" w:rsidRPr="00AF24A3">
        <w:t>he risk factors, causes</w:t>
      </w:r>
      <w:r>
        <w:t>,</w:t>
      </w:r>
      <w:r w:rsidR="008555F8" w:rsidRPr="00AF24A3">
        <w:t xml:space="preserve"> and presentation of comorbidities; and</w:t>
      </w:r>
    </w:p>
    <w:p w14:paraId="1DE69F6A" w14:textId="77777777" w:rsidR="0070296C" w:rsidRPr="0070296C" w:rsidRDefault="00B978F3" w:rsidP="000C4687">
      <w:pPr>
        <w:pStyle w:val="ListBullet"/>
        <w:numPr>
          <w:ilvl w:val="1"/>
          <w:numId w:val="15"/>
        </w:numPr>
        <w:ind w:left="1491" w:hanging="357"/>
        <w:rPr>
          <w:b/>
          <w:bCs/>
          <w:color w:val="006666"/>
          <w:lang w:val="en-AU"/>
        </w:rPr>
      </w:pPr>
      <w:r>
        <w:t>E</w:t>
      </w:r>
      <w:r w:rsidR="008555F8" w:rsidRPr="00AF24A3">
        <w:t xml:space="preserve">valuation of health and mental health interventions for </w:t>
      </w:r>
      <w:r w:rsidR="007D60AD">
        <w:t>Autistic</w:t>
      </w:r>
      <w:r w:rsidR="008555F8" w:rsidRPr="00AF24A3">
        <w:t xml:space="preserve"> people.</w:t>
      </w:r>
    </w:p>
    <w:p w14:paraId="5EBF175C" w14:textId="77777777" w:rsidR="0070296C" w:rsidRPr="0070296C" w:rsidRDefault="0070296C" w:rsidP="000C4687">
      <w:pPr>
        <w:pStyle w:val="ListBullet"/>
        <w:numPr>
          <w:ilvl w:val="1"/>
          <w:numId w:val="15"/>
        </w:numPr>
        <w:ind w:left="1491" w:hanging="357"/>
        <w:rPr>
          <w:b/>
          <w:bCs/>
          <w:color w:val="006666"/>
          <w:lang w:val="en-AU"/>
        </w:rPr>
      </w:pPr>
    </w:p>
    <w:p w14:paraId="36AE68AC" w14:textId="48E8969B" w:rsidR="00B51EF6" w:rsidRPr="0070296C" w:rsidRDefault="001B5D76" w:rsidP="0070296C">
      <w:pPr>
        <w:pStyle w:val="ListBullet"/>
        <w:numPr>
          <w:ilvl w:val="0"/>
          <w:numId w:val="0"/>
        </w:numPr>
        <w:rPr>
          <w:b/>
          <w:bCs/>
          <w:color w:val="006666"/>
          <w:lang w:val="en-AU"/>
        </w:rPr>
      </w:pPr>
      <w:r>
        <w:rPr>
          <w:noProof/>
          <w:lang w:val="en-AU"/>
        </w:rPr>
        <mc:AlternateContent>
          <mc:Choice Requires="wps">
            <w:drawing>
              <wp:anchor distT="0" distB="0" distL="114300" distR="114300" simplePos="0" relativeHeight="251659264" behindDoc="0" locked="0" layoutInCell="1" allowOverlap="1" wp14:anchorId="6E573C60" wp14:editId="6DB7659C">
                <wp:simplePos x="0" y="0"/>
                <wp:positionH relativeFrom="margin">
                  <wp:align>left</wp:align>
                </wp:positionH>
                <wp:positionV relativeFrom="paragraph">
                  <wp:posOffset>148261</wp:posOffset>
                </wp:positionV>
                <wp:extent cx="6040582" cy="0"/>
                <wp:effectExtent l="0" t="19050" r="36830" b="19050"/>
                <wp:wrapNone/>
                <wp:docPr id="139200536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0582" cy="0"/>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1A873" id="Straight Connector 1"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1.65pt" to="475.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" strokecolor="teal" strokeweight="2.5pt">
                <v:stroke linestyle="thinThick" joinstyle="miter"/>
                <w10:wrap anchorx="margin"/>
              </v:line>
            </w:pict>
          </mc:Fallback>
        </mc:AlternateContent>
      </w:r>
      <w:r w:rsidR="003903C6" w:rsidRPr="0070296C">
        <w:rPr>
          <w:b/>
          <w:bCs/>
          <w:color w:val="006666"/>
          <w:lang w:val="en-AU"/>
        </w:rPr>
        <w:br/>
      </w:r>
      <w:r w:rsidR="008555F8" w:rsidRPr="0070296C">
        <w:rPr>
          <w:b/>
          <w:bCs/>
          <w:color w:val="006666"/>
          <w:lang w:val="en-AU"/>
        </w:rPr>
        <w:t>Recommendation 1:</w:t>
      </w:r>
      <w:r w:rsidR="00B51EF6" w:rsidRPr="0070296C">
        <w:rPr>
          <w:b/>
          <w:bCs/>
          <w:color w:val="008080"/>
          <w:lang w:val="en-AU"/>
        </w:rPr>
        <w:br/>
      </w:r>
      <w:r w:rsidR="008555F8" w:rsidRPr="0070296C">
        <w:rPr>
          <w:lang w:val="en-AU"/>
        </w:rPr>
        <w:t xml:space="preserve">The final Strategy must include </w:t>
      </w:r>
      <w:r w:rsidR="008555F8" w:rsidRPr="00AA292B">
        <w:t>clear timelines, defined responsibilities, and measurable outcomes to drive accountability.</w:t>
      </w:r>
    </w:p>
    <w:p w14:paraId="00E8F379" w14:textId="733C3FB2" w:rsidR="008555F8" w:rsidRPr="00B51EF6" w:rsidRDefault="008555F8" w:rsidP="008555F8">
      <w:pPr>
        <w:rPr>
          <w:b/>
          <w:bCs/>
          <w:color w:val="008080"/>
          <w:lang w:val="en-AU"/>
        </w:rPr>
      </w:pPr>
      <w:r w:rsidRPr="00B51EF6">
        <w:rPr>
          <w:b/>
          <w:bCs/>
          <w:color w:val="006666"/>
          <w:lang w:val="en-AU"/>
        </w:rPr>
        <w:t>Recommendation 2:</w:t>
      </w:r>
      <w:r w:rsidR="00B51EF6">
        <w:rPr>
          <w:b/>
          <w:bCs/>
          <w:color w:val="008080"/>
          <w:lang w:val="en-AU"/>
        </w:rPr>
        <w:br/>
      </w:r>
      <w:r w:rsidRPr="00AA292B">
        <w:t>The final Strategy must clearly articulate the level of funding/resourcing that will be committed to ensure its long-term success.</w:t>
      </w:r>
    </w:p>
    <w:p w14:paraId="51CD68FA" w14:textId="79B46312" w:rsidR="008555F8" w:rsidRPr="00B51EF6" w:rsidRDefault="008555F8" w:rsidP="008555F8">
      <w:pPr>
        <w:rPr>
          <w:b/>
          <w:bCs/>
          <w:lang w:val="en-AU"/>
        </w:rPr>
      </w:pPr>
      <w:r w:rsidRPr="00B51EF6">
        <w:rPr>
          <w:b/>
          <w:bCs/>
          <w:color w:val="006666"/>
          <w:lang w:val="en-AU"/>
        </w:rPr>
        <w:t>Recommendation 3:</w:t>
      </w:r>
      <w:r w:rsidR="00B51EF6">
        <w:rPr>
          <w:b/>
          <w:bCs/>
          <w:lang w:val="en-AU"/>
        </w:rPr>
        <w:br/>
      </w:r>
      <w:r w:rsidRPr="00AA292B">
        <w:rPr>
          <w:lang w:val="en-AU"/>
        </w:rPr>
        <w:t xml:space="preserve">Each </w:t>
      </w:r>
      <w:r w:rsidR="00B51EF6">
        <w:rPr>
          <w:lang w:val="en-AU"/>
        </w:rPr>
        <w:t>O</w:t>
      </w:r>
      <w:r w:rsidRPr="00AA292B">
        <w:rPr>
          <w:lang w:val="en-AU"/>
        </w:rPr>
        <w:t xml:space="preserve">utcome </w:t>
      </w:r>
      <w:r w:rsidR="00B51EF6">
        <w:rPr>
          <w:lang w:val="en-AU"/>
        </w:rPr>
        <w:t>A</w:t>
      </w:r>
      <w:r w:rsidRPr="00AA292B">
        <w:rPr>
          <w:lang w:val="en-AU"/>
        </w:rPr>
        <w:t>rea included in the Strategy must be accompanied by a problem statement which articulates the specific problem/s the Strategy is aiming to resolve.</w:t>
      </w:r>
    </w:p>
    <w:p w14:paraId="50B455A2" w14:textId="77777777" w:rsidR="00147620" w:rsidRDefault="008555F8" w:rsidP="00147620">
      <w:pPr>
        <w:spacing w:after="120"/>
        <w:rPr>
          <w:lang w:val="en-AU"/>
        </w:rPr>
      </w:pPr>
      <w:r w:rsidRPr="00B51EF6">
        <w:rPr>
          <w:b/>
          <w:bCs/>
          <w:color w:val="006666"/>
          <w:lang w:val="en-AU"/>
        </w:rPr>
        <w:t>Recommendation 4:</w:t>
      </w:r>
      <w:r w:rsidR="00B51EF6">
        <w:rPr>
          <w:b/>
          <w:bCs/>
          <w:lang w:val="en-AU"/>
        </w:rPr>
        <w:br/>
      </w:r>
      <w:r w:rsidRPr="00AA292B">
        <w:rPr>
          <w:lang w:val="en-AU"/>
        </w:rPr>
        <w:t>The final Strategy must clearly articulate the Government’s intentions in relation to the suite of strategies, frameworks</w:t>
      </w:r>
      <w:r w:rsidR="00B51EF6">
        <w:rPr>
          <w:lang w:val="en-AU"/>
        </w:rPr>
        <w:t>,</w:t>
      </w:r>
      <w:r w:rsidRPr="00AA292B">
        <w:rPr>
          <w:lang w:val="en-AU"/>
        </w:rPr>
        <w:t xml:space="preserve"> and plans recommended by the Select Committee on Autism, including:</w:t>
      </w:r>
    </w:p>
    <w:p w14:paraId="219AF3EF" w14:textId="4A9FFE21" w:rsidR="00147620" w:rsidRPr="00147620" w:rsidRDefault="008555F8" w:rsidP="00147620">
      <w:pPr>
        <w:pStyle w:val="ListParagraph"/>
        <w:numPr>
          <w:ilvl w:val="0"/>
          <w:numId w:val="27"/>
        </w:numPr>
        <w:spacing w:before="0" w:after="200"/>
        <w:ind w:left="714" w:hanging="357"/>
        <w:rPr>
          <w:b/>
          <w:bCs/>
        </w:rPr>
      </w:pPr>
      <w:r w:rsidRPr="00147620">
        <w:t>National Autism Advocacy Plan</w:t>
      </w:r>
      <w:r w:rsidR="00147620">
        <w:t>.</w:t>
      </w:r>
    </w:p>
    <w:p w14:paraId="64E292E1" w14:textId="76E50A42" w:rsidR="00147620" w:rsidRPr="00147620" w:rsidRDefault="008555F8" w:rsidP="00147620">
      <w:pPr>
        <w:pStyle w:val="ListParagraph"/>
        <w:numPr>
          <w:ilvl w:val="0"/>
          <w:numId w:val="27"/>
        </w:numPr>
        <w:spacing w:before="0" w:after="200"/>
        <w:ind w:left="714" w:hanging="357"/>
        <w:rPr>
          <w:b/>
          <w:bCs/>
        </w:rPr>
      </w:pPr>
      <w:r w:rsidRPr="00147620">
        <w:t>National Autism Workforce Plan</w:t>
      </w:r>
      <w:r w:rsidR="00147620">
        <w:t>.</w:t>
      </w:r>
    </w:p>
    <w:p w14:paraId="7C404B1D" w14:textId="4BC770C0" w:rsidR="00147620" w:rsidRPr="0070296C" w:rsidRDefault="008555F8" w:rsidP="00147620">
      <w:pPr>
        <w:pStyle w:val="ListParagraph"/>
        <w:numPr>
          <w:ilvl w:val="0"/>
          <w:numId w:val="27"/>
        </w:numPr>
        <w:spacing w:before="0" w:after="200"/>
        <w:ind w:left="714" w:hanging="357"/>
        <w:rPr>
          <w:b/>
          <w:bCs/>
        </w:rPr>
      </w:pPr>
      <w:r w:rsidRPr="00147620">
        <w:t>Guidelines on autism-friendly service design</w:t>
      </w:r>
      <w:r w:rsidR="00147620">
        <w:t>.</w:t>
      </w:r>
    </w:p>
    <w:p w14:paraId="05B8AA3E" w14:textId="77777777" w:rsidR="0070296C" w:rsidRPr="00147620" w:rsidRDefault="0070296C" w:rsidP="0070296C">
      <w:pPr>
        <w:pStyle w:val="ListParagraph"/>
        <w:spacing w:before="0" w:after="200"/>
        <w:ind w:left="714"/>
        <w:rPr>
          <w:b/>
          <w:bCs/>
        </w:rPr>
      </w:pPr>
    </w:p>
    <w:p w14:paraId="0A7F244B" w14:textId="3D3D4972" w:rsidR="00147620" w:rsidRPr="00147620" w:rsidRDefault="008555F8" w:rsidP="00147620">
      <w:pPr>
        <w:pStyle w:val="ListParagraph"/>
        <w:numPr>
          <w:ilvl w:val="0"/>
          <w:numId w:val="27"/>
        </w:numPr>
        <w:spacing w:before="0" w:after="200"/>
        <w:ind w:left="714" w:hanging="357"/>
        <w:rPr>
          <w:b/>
          <w:bCs/>
        </w:rPr>
      </w:pPr>
      <w:r w:rsidRPr="00147620">
        <w:t>National Autism Research Framework</w:t>
      </w:r>
      <w:r w:rsidR="00147620">
        <w:t>.</w:t>
      </w:r>
    </w:p>
    <w:p w14:paraId="3BF1B69A" w14:textId="6475CFEB" w:rsidR="00BC5FA9" w:rsidRPr="00147620" w:rsidRDefault="008555F8" w:rsidP="00147620">
      <w:pPr>
        <w:pStyle w:val="ListParagraph"/>
        <w:numPr>
          <w:ilvl w:val="0"/>
          <w:numId w:val="27"/>
        </w:numPr>
        <w:spacing w:before="0" w:after="200"/>
        <w:ind w:left="714" w:hanging="357"/>
        <w:rPr>
          <w:b/>
          <w:bCs/>
        </w:rPr>
      </w:pPr>
      <w:r w:rsidRPr="00147620">
        <w:t>National Autism Employment Framework and Transition to Work Roadmap.</w:t>
      </w:r>
    </w:p>
    <w:p w14:paraId="056D1C41" w14:textId="16B65D04" w:rsidR="00147620" w:rsidRPr="00147620" w:rsidRDefault="00147620" w:rsidP="00147620">
      <w:pPr>
        <w:pStyle w:val="ListParagraph"/>
        <w:spacing w:before="0" w:after="200"/>
        <w:ind w:left="714"/>
        <w:rPr>
          <w:b/>
          <w:bCs/>
        </w:rPr>
      </w:pPr>
      <w:r>
        <w:rPr>
          <w:noProof/>
        </w:rPr>
        <mc:AlternateContent>
          <mc:Choice Requires="wps">
            <w:drawing>
              <wp:anchor distT="0" distB="0" distL="114300" distR="114300" simplePos="0" relativeHeight="251683840" behindDoc="0" locked="0" layoutInCell="1" allowOverlap="1" wp14:anchorId="78F00892" wp14:editId="45024BBD">
                <wp:simplePos x="0" y="0"/>
                <wp:positionH relativeFrom="margin">
                  <wp:align>left</wp:align>
                </wp:positionH>
                <wp:positionV relativeFrom="paragraph">
                  <wp:posOffset>143106</wp:posOffset>
                </wp:positionV>
                <wp:extent cx="6040582" cy="0"/>
                <wp:effectExtent l="0" t="19050" r="36830" b="19050"/>
                <wp:wrapNone/>
                <wp:docPr id="194230038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0582" cy="0"/>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87A9F" id="Straight Connector 1" o:spid="_x0000_s1026" alt="&quot;&quot;"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11.25pt" to="47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" strokecolor="teal" strokeweight="2.5pt">
                <v:stroke linestyle="thinThick" joinstyle="miter"/>
                <w10:wrap anchorx="margin"/>
              </v:line>
            </w:pict>
          </mc:Fallback>
        </mc:AlternateContent>
      </w:r>
    </w:p>
    <w:p w14:paraId="13321C02" w14:textId="77777777" w:rsidR="00147620" w:rsidRPr="00B51EF6" w:rsidRDefault="00147620" w:rsidP="00147620">
      <w:pPr>
        <w:pStyle w:val="ListBullet"/>
        <w:numPr>
          <w:ilvl w:val="0"/>
          <w:numId w:val="0"/>
        </w:numPr>
        <w:ind w:left="360"/>
        <w:rPr>
          <w:lang w:val="en-AU"/>
        </w:rPr>
      </w:pPr>
    </w:p>
    <w:p w14:paraId="23849E45" w14:textId="38923470" w:rsidR="00624E91" w:rsidRDefault="00843AD5" w:rsidP="00843AD5">
      <w:pPr>
        <w:pStyle w:val="Heading2"/>
        <w:numPr>
          <w:ilvl w:val="0"/>
          <w:numId w:val="5"/>
        </w:numPr>
        <w:rPr>
          <w:rFonts w:cs="Arial"/>
          <w:sz w:val="32"/>
          <w:szCs w:val="32"/>
        </w:rPr>
      </w:pPr>
      <w:r>
        <w:rPr>
          <w:rFonts w:cs="Arial"/>
          <w:sz w:val="32"/>
          <w:szCs w:val="32"/>
        </w:rPr>
        <w:lastRenderedPageBreak/>
        <w:t>Foundations of the Strategy</w:t>
      </w:r>
    </w:p>
    <w:p w14:paraId="676F5622" w14:textId="13E9BDC5" w:rsidR="00D15395" w:rsidRDefault="00D15395" w:rsidP="00D15395">
      <w:r>
        <w:t xml:space="preserve">The Strategy states that it is based on the “biopsychosocial model of disability”, which is an attempt to combine the medical and social model. AFDO asserts that this is </w:t>
      </w:r>
      <w:r w:rsidR="0070296C">
        <w:t xml:space="preserve">completely </w:t>
      </w:r>
      <w:r>
        <w:t>the wrong framing for the Strategy.</w:t>
      </w:r>
    </w:p>
    <w:p w14:paraId="354852CF" w14:textId="31CAED63" w:rsidR="00D15395" w:rsidRDefault="0070296C" w:rsidP="00D15395">
      <w:r>
        <w:t>T</w:t>
      </w:r>
      <w:r w:rsidR="00D15395">
        <w:t>he Strategy must be framed around the human rights model of disability, which is established under the CRPD, and expands on the social model. We are perplexed as to why the human rights model has been included in the glossary of terms but is not referenced elsewhere in the Strategy. This model:</w:t>
      </w:r>
    </w:p>
    <w:p w14:paraId="63B8A9D5" w14:textId="7B52EE26" w:rsidR="00D15395" w:rsidRDefault="00D15395" w:rsidP="00EC7D01">
      <w:pPr>
        <w:ind w:left="425"/>
      </w:pPr>
      <w:r w:rsidRPr="00D15395">
        <w:rPr>
          <w:i/>
          <w:iCs/>
        </w:rPr>
        <w:t>“…recogni</w:t>
      </w:r>
      <w:r>
        <w:rPr>
          <w:i/>
          <w:iCs/>
        </w:rPr>
        <w:t>s</w:t>
      </w:r>
      <w:r w:rsidRPr="00D15395">
        <w:rPr>
          <w:i/>
          <w:iCs/>
        </w:rPr>
        <w:t xml:space="preserve">es that disability is a natural part of human diversity that must be respected and supported in all its forms. People with disability have the same rights as everyone else in society, and disability </w:t>
      </w:r>
      <w:r w:rsidR="00D61551">
        <w:rPr>
          <w:i/>
          <w:iCs/>
        </w:rPr>
        <w:t>‘</w:t>
      </w:r>
      <w:r w:rsidRPr="00D15395">
        <w:rPr>
          <w:i/>
          <w:iCs/>
        </w:rPr>
        <w:t>must not be used as an excuse to deny or restrict people's rights</w:t>
      </w:r>
      <w:r w:rsidR="00417C15">
        <w:rPr>
          <w:i/>
          <w:iCs/>
        </w:rPr>
        <w:t>.’</w:t>
      </w:r>
      <w:r w:rsidRPr="00D15395">
        <w:rPr>
          <w:i/>
          <w:iCs/>
        </w:rPr>
        <w:t>”</w:t>
      </w:r>
      <w:r w:rsidR="00D61551">
        <w:rPr>
          <w:rStyle w:val="EndnoteReference"/>
          <w:i/>
          <w:iCs/>
        </w:rPr>
        <w:endnoteReference w:id="2"/>
      </w:r>
      <w:r w:rsidR="008E3C95">
        <w:tab/>
      </w:r>
    </w:p>
    <w:p w14:paraId="588DE014" w14:textId="17B55C81" w:rsidR="007A3D78" w:rsidRDefault="00D15395" w:rsidP="00D15395">
      <w:r>
        <w:t>The human rights model also acknowledges that disability might be just one of several aspects of an individual’s identity. As such, disability law and policy must factor in and accommodate the diversity of people with disability.</w:t>
      </w:r>
      <w:r w:rsidR="00417C15">
        <w:rPr>
          <w:rStyle w:val="EndnoteReference"/>
        </w:rPr>
        <w:endnoteReference w:id="3"/>
      </w:r>
    </w:p>
    <w:p w14:paraId="3BEF5464" w14:textId="73196367" w:rsidR="00D15395" w:rsidRPr="007A3D78" w:rsidRDefault="007A3D78" w:rsidP="00D15395">
      <w:pPr>
        <w:rPr>
          <w:b/>
          <w:bCs/>
        </w:rPr>
      </w:pPr>
      <w:r>
        <w:rPr>
          <w:noProof/>
          <w:lang w:val="en-AU"/>
        </w:rPr>
        <mc:AlternateContent>
          <mc:Choice Requires="wps">
            <w:drawing>
              <wp:anchor distT="0" distB="0" distL="114300" distR="114300" simplePos="0" relativeHeight="251661312" behindDoc="0" locked="0" layoutInCell="1" allowOverlap="1" wp14:anchorId="6F1BF9DB" wp14:editId="43B089BB">
                <wp:simplePos x="0" y="0"/>
                <wp:positionH relativeFrom="margin">
                  <wp:align>left</wp:align>
                </wp:positionH>
                <wp:positionV relativeFrom="paragraph">
                  <wp:posOffset>35733</wp:posOffset>
                </wp:positionV>
                <wp:extent cx="6040582" cy="0"/>
                <wp:effectExtent l="0" t="19050" r="36830" b="19050"/>
                <wp:wrapNone/>
                <wp:docPr id="190016966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0582" cy="0"/>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F11EB" id="Straight Connector 1" o:spid="_x0000_s1026" alt="&quot;&quot;"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8pt" to="475.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" strokecolor="teal" strokeweight="2.5pt">
                <v:stroke linestyle="thinThick" joinstyle="miter"/>
                <w10:wrap anchorx="margin"/>
              </v:line>
            </w:pict>
          </mc:Fallback>
        </mc:AlternateContent>
      </w:r>
      <w:r>
        <w:br/>
      </w:r>
      <w:r w:rsidR="00D15395" w:rsidRPr="007A3D78">
        <w:rPr>
          <w:b/>
          <w:bCs/>
          <w:color w:val="006666"/>
        </w:rPr>
        <w:t>Recommendation 5:</w:t>
      </w:r>
      <w:r>
        <w:rPr>
          <w:b/>
          <w:bCs/>
        </w:rPr>
        <w:t xml:space="preserve"> </w:t>
      </w:r>
      <w:r w:rsidR="00D15395">
        <w:t xml:space="preserve">The final Strategy must be based on the human rights model of disability </w:t>
      </w:r>
      <w:r w:rsidR="00E475DB">
        <w:t xml:space="preserve">not </w:t>
      </w:r>
      <w:r w:rsidR="00D15395">
        <w:t>the biopsychosocial model of disability.</w:t>
      </w:r>
    </w:p>
    <w:p w14:paraId="470F7F44" w14:textId="7A2F7762" w:rsidR="00843AD5" w:rsidRPr="00843AD5" w:rsidRDefault="00147620" w:rsidP="00843AD5">
      <w:r>
        <w:rPr>
          <w:noProof/>
          <w:lang w:val="en-AU"/>
        </w:rPr>
        <mc:AlternateContent>
          <mc:Choice Requires="wps">
            <w:drawing>
              <wp:anchor distT="0" distB="0" distL="114300" distR="114300" simplePos="0" relativeHeight="251681792" behindDoc="0" locked="0" layoutInCell="1" allowOverlap="1" wp14:anchorId="0A03F034" wp14:editId="5422A945">
                <wp:simplePos x="0" y="0"/>
                <wp:positionH relativeFrom="margin">
                  <wp:posOffset>0</wp:posOffset>
                </wp:positionH>
                <wp:positionV relativeFrom="paragraph">
                  <wp:posOffset>18415</wp:posOffset>
                </wp:positionV>
                <wp:extent cx="6040582" cy="0"/>
                <wp:effectExtent l="0" t="19050" r="36830" b="19050"/>
                <wp:wrapNone/>
                <wp:docPr id="75430467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0582" cy="0"/>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FE78F" id="Straight Connector 1" o:spid="_x0000_s1026" alt="&quot;&quot;"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0,1.45pt" to="475.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" strokecolor="teal" strokeweight="2.5pt">
                <v:stroke linestyle="thinThick" joinstyle="miter"/>
                <w10:wrap anchorx="margin"/>
              </v:line>
            </w:pict>
          </mc:Fallback>
        </mc:AlternateContent>
      </w:r>
    </w:p>
    <w:p w14:paraId="3B77B8A3" w14:textId="77777777" w:rsidR="00FC78BD" w:rsidRDefault="00FC78BD" w:rsidP="00953487">
      <w:pPr>
        <w:rPr>
          <w:b/>
          <w:bCs/>
          <w:lang w:val="en-AU"/>
        </w:rPr>
      </w:pPr>
    </w:p>
    <w:p w14:paraId="593DCD50" w14:textId="77777777" w:rsidR="00FC78BD" w:rsidRDefault="00FC78BD" w:rsidP="00953487">
      <w:pPr>
        <w:rPr>
          <w:b/>
          <w:bCs/>
          <w:lang w:val="en-AU"/>
        </w:rPr>
      </w:pPr>
    </w:p>
    <w:p w14:paraId="49031524" w14:textId="77777777" w:rsidR="00FC78BD" w:rsidRDefault="00FC78BD" w:rsidP="00953487">
      <w:pPr>
        <w:rPr>
          <w:b/>
          <w:bCs/>
          <w:lang w:val="en-AU"/>
        </w:rPr>
      </w:pPr>
    </w:p>
    <w:p w14:paraId="69E2D833" w14:textId="77777777" w:rsidR="00FC78BD" w:rsidRDefault="00FC78BD" w:rsidP="00953487">
      <w:pPr>
        <w:rPr>
          <w:b/>
          <w:bCs/>
          <w:lang w:val="en-AU"/>
        </w:rPr>
      </w:pPr>
    </w:p>
    <w:p w14:paraId="4152C021" w14:textId="77777777" w:rsidR="00FC78BD" w:rsidRDefault="00FC78BD" w:rsidP="00953487">
      <w:pPr>
        <w:rPr>
          <w:b/>
          <w:bCs/>
          <w:lang w:val="en-AU"/>
        </w:rPr>
      </w:pPr>
    </w:p>
    <w:p w14:paraId="37FF445C" w14:textId="77777777" w:rsidR="00FC78BD" w:rsidRDefault="00FC78BD" w:rsidP="00953487">
      <w:pPr>
        <w:rPr>
          <w:b/>
          <w:bCs/>
          <w:lang w:val="en-AU"/>
        </w:rPr>
      </w:pPr>
    </w:p>
    <w:p w14:paraId="0E4091EA" w14:textId="77777777" w:rsidR="00FC78BD" w:rsidRDefault="00FC78BD" w:rsidP="00953487">
      <w:pPr>
        <w:rPr>
          <w:b/>
          <w:bCs/>
          <w:lang w:val="en-AU"/>
        </w:rPr>
      </w:pPr>
    </w:p>
    <w:p w14:paraId="6DCDFEC0" w14:textId="77777777" w:rsidR="0068160D" w:rsidRDefault="0068160D" w:rsidP="00953487">
      <w:pPr>
        <w:rPr>
          <w:b/>
          <w:bCs/>
          <w:lang w:val="en-AU"/>
        </w:rPr>
      </w:pPr>
    </w:p>
    <w:p w14:paraId="796B668F" w14:textId="77777777" w:rsidR="0068160D" w:rsidRDefault="0068160D" w:rsidP="00953487">
      <w:pPr>
        <w:rPr>
          <w:b/>
          <w:bCs/>
          <w:lang w:val="en-AU"/>
        </w:rPr>
      </w:pPr>
    </w:p>
    <w:p w14:paraId="4978F94C" w14:textId="77777777" w:rsidR="0068160D" w:rsidRDefault="0068160D" w:rsidP="00953487">
      <w:pPr>
        <w:rPr>
          <w:b/>
          <w:bCs/>
          <w:lang w:val="en-AU"/>
        </w:rPr>
      </w:pPr>
    </w:p>
    <w:p w14:paraId="50F06CCA" w14:textId="77777777" w:rsidR="0068160D" w:rsidRDefault="0068160D" w:rsidP="00953487">
      <w:pPr>
        <w:rPr>
          <w:b/>
          <w:bCs/>
          <w:lang w:val="en-AU"/>
        </w:rPr>
      </w:pPr>
    </w:p>
    <w:p w14:paraId="6231A31F" w14:textId="77777777" w:rsidR="0068160D" w:rsidRDefault="0068160D" w:rsidP="00953487">
      <w:pPr>
        <w:rPr>
          <w:b/>
          <w:bCs/>
          <w:lang w:val="en-AU"/>
        </w:rPr>
      </w:pPr>
    </w:p>
    <w:p w14:paraId="67FCCDEE" w14:textId="77777777" w:rsidR="0068160D" w:rsidRDefault="0068160D" w:rsidP="00953487">
      <w:pPr>
        <w:rPr>
          <w:b/>
          <w:bCs/>
          <w:lang w:val="en-AU"/>
        </w:rPr>
      </w:pPr>
    </w:p>
    <w:p w14:paraId="6DAD078B" w14:textId="095F023D" w:rsidR="0068160D" w:rsidRPr="007A3D78" w:rsidRDefault="007A3D78" w:rsidP="007A3D78">
      <w:pPr>
        <w:pStyle w:val="Heading2"/>
        <w:numPr>
          <w:ilvl w:val="0"/>
          <w:numId w:val="5"/>
        </w:numPr>
        <w:rPr>
          <w:color w:val="008080"/>
          <w:sz w:val="32"/>
          <w:szCs w:val="32"/>
        </w:rPr>
      </w:pPr>
      <w:r w:rsidRPr="007A3D78">
        <w:rPr>
          <w:color w:val="008080"/>
          <w:sz w:val="32"/>
          <w:szCs w:val="32"/>
        </w:rPr>
        <w:lastRenderedPageBreak/>
        <w:t>Reinforcing the need for an interjurisdictional approach</w:t>
      </w:r>
    </w:p>
    <w:p w14:paraId="795444FF" w14:textId="23190034" w:rsidR="003A4CDB" w:rsidRPr="00AA292B" w:rsidRDefault="003A4CDB" w:rsidP="00EC7D01">
      <w:r w:rsidRPr="00AA292B">
        <w:t xml:space="preserve">One of the greatest criticisms </w:t>
      </w:r>
      <w:r>
        <w:t>our Members</w:t>
      </w:r>
      <w:r w:rsidRPr="00AA292B">
        <w:t xml:space="preserve"> raised with the </w:t>
      </w:r>
      <w:r w:rsidR="001B3AAC">
        <w:t>d</w:t>
      </w:r>
      <w:r w:rsidRPr="00AA292B">
        <w:t xml:space="preserve">raft </w:t>
      </w:r>
      <w:r w:rsidR="001B3AAC">
        <w:t xml:space="preserve">Strategy </w:t>
      </w:r>
      <w:r w:rsidRPr="00AA292B">
        <w:t xml:space="preserve">relates to its inability to address interjurisdictional </w:t>
      </w:r>
      <w:r w:rsidR="00E475DB" w:rsidRPr="00AA292B">
        <w:t>issues or</w:t>
      </w:r>
      <w:r w:rsidRPr="00AA292B">
        <w:t xml:space="preserve"> matters that largely fall to the responsibility of state and territory governments. It appears that the </w:t>
      </w:r>
      <w:r w:rsidR="001B3AAC">
        <w:t>S</w:t>
      </w:r>
      <w:r w:rsidRPr="00AA292B">
        <w:t xml:space="preserve">trategy is only intended to support </w:t>
      </w:r>
      <w:r w:rsidR="001B3AAC">
        <w:t>g</w:t>
      </w:r>
      <w:r w:rsidRPr="00AA292B">
        <w:t xml:space="preserve">overnments with the existing infrastructure they have in place. This is </w:t>
      </w:r>
      <w:proofErr w:type="gramStart"/>
      <w:r w:rsidRPr="00AA292B">
        <w:t>despite the fact that</w:t>
      </w:r>
      <w:proofErr w:type="gramEnd"/>
      <w:r w:rsidRPr="00AA292B">
        <w:t xml:space="preserve"> the Department’s discussion paper on the Strategy recognised that:</w:t>
      </w:r>
    </w:p>
    <w:p w14:paraId="4DBB79BF" w14:textId="1A1DCC1A" w:rsidR="003A4CDB" w:rsidRPr="00202E01" w:rsidRDefault="003A4CDB" w:rsidP="00EC7D01">
      <w:pPr>
        <w:ind w:left="425"/>
        <w:rPr>
          <w:rFonts w:eastAsiaTheme="minorHAnsi" w:cstheme="minorBidi"/>
          <w:i/>
          <w:iCs/>
          <w:lang w:val="en-AU"/>
        </w:rPr>
      </w:pPr>
      <w:r w:rsidRPr="00DF5FB4">
        <w:rPr>
          <w:rFonts w:eastAsiaTheme="minorHAnsi" w:cstheme="minorBidi"/>
          <w:i/>
          <w:iCs/>
          <w:lang w:val="en-AU"/>
        </w:rPr>
        <w:t xml:space="preserve">“Government services and information are fragmented, with </w:t>
      </w:r>
      <w:r w:rsidR="007D60AD">
        <w:rPr>
          <w:rFonts w:eastAsiaTheme="minorHAnsi" w:cstheme="minorBidi"/>
          <w:i/>
          <w:iCs/>
          <w:lang w:val="en-AU"/>
        </w:rPr>
        <w:t>Autistic</w:t>
      </w:r>
      <w:r w:rsidRPr="00DF5FB4">
        <w:rPr>
          <w:rFonts w:eastAsiaTheme="minorHAnsi" w:cstheme="minorBidi"/>
          <w:i/>
          <w:iCs/>
          <w:lang w:val="en-AU"/>
        </w:rPr>
        <w:t xml:space="preserve"> people falling through gaps between supports provided by different levels of government</w:t>
      </w:r>
      <w:r w:rsidR="00D55392">
        <w:rPr>
          <w:rFonts w:eastAsiaTheme="minorHAnsi" w:cstheme="minorBidi"/>
          <w:i/>
          <w:iCs/>
          <w:lang w:val="en-AU"/>
        </w:rPr>
        <w:t>.</w:t>
      </w:r>
      <w:r w:rsidRPr="00DF5FB4">
        <w:rPr>
          <w:rFonts w:eastAsiaTheme="minorHAnsi" w:cstheme="minorBidi"/>
          <w:i/>
          <w:iCs/>
          <w:lang w:val="en-AU"/>
        </w:rPr>
        <w:t xml:space="preserve">” </w:t>
      </w:r>
    </w:p>
    <w:p w14:paraId="2C3A733F" w14:textId="02403289" w:rsidR="003A4CDB" w:rsidRPr="00AA292B" w:rsidRDefault="003A4CDB" w:rsidP="00EC7D01">
      <w:r w:rsidRPr="00DF5FB4">
        <w:rPr>
          <w:rFonts w:eastAsiaTheme="minorHAnsi" w:cstheme="minorBidi"/>
          <w:lang w:val="en-AU"/>
        </w:rPr>
        <w:t xml:space="preserve">We also refer to Recommendation 7 from the </w:t>
      </w:r>
      <w:r w:rsidR="00E475DB" w:rsidRPr="00DF5FB4">
        <w:rPr>
          <w:rFonts w:eastAsiaTheme="minorHAnsi" w:cstheme="minorBidi"/>
          <w:lang w:val="en-AU"/>
        </w:rPr>
        <w:t>report</w:t>
      </w:r>
      <w:r w:rsidRPr="00DF5FB4">
        <w:rPr>
          <w:rFonts w:eastAsiaTheme="minorHAnsi" w:cstheme="minorBidi"/>
          <w:lang w:val="en-AU"/>
        </w:rPr>
        <w:t xml:space="preserve"> published by the </w:t>
      </w:r>
      <w:r w:rsidRPr="00AA292B">
        <w:t>Senate Select Committee on Autism, which states:</w:t>
      </w:r>
    </w:p>
    <w:p w14:paraId="6EC9A116" w14:textId="0FDD2338" w:rsidR="003A4CDB" w:rsidRPr="00202E01" w:rsidRDefault="00202E01" w:rsidP="00EC7D01">
      <w:pPr>
        <w:ind w:left="425"/>
        <w:rPr>
          <w:rFonts w:eastAsiaTheme="minorHAnsi" w:cstheme="minorBidi"/>
          <w:i/>
          <w:iCs/>
          <w:lang w:val="en-AU"/>
        </w:rPr>
      </w:pPr>
      <w:r>
        <w:rPr>
          <w:rFonts w:eastAsiaTheme="minorHAnsi" w:cstheme="minorBidi"/>
          <w:i/>
          <w:iCs/>
          <w:lang w:val="en-AU"/>
        </w:rPr>
        <w:t>“</w:t>
      </w:r>
      <w:r w:rsidR="003A4CDB" w:rsidRPr="00DF5FB4">
        <w:rPr>
          <w:rFonts w:eastAsiaTheme="minorHAnsi" w:cstheme="minorBidi"/>
          <w:i/>
          <w:iCs/>
          <w:lang w:val="en-AU"/>
        </w:rPr>
        <w:t>The committee recommends that the National Autism Strategy identify actions to drive better integration between federal and state service systems, including a roadmap to better integrate NDIS and mainstream services. This roadmap should be consistent with the recommendations made by the Joint Standing Committee on the NDIS in relation to service integration and overlap with other systems.”</w:t>
      </w:r>
      <w:r w:rsidR="003A4CDB" w:rsidRPr="00202E01">
        <w:rPr>
          <w:rFonts w:eastAsiaTheme="minorHAnsi" w:cstheme="minorBidi"/>
          <w:i/>
          <w:iCs/>
          <w:vertAlign w:val="superscript"/>
          <w:lang w:val="en-AU"/>
        </w:rPr>
        <w:endnoteReference w:id="4"/>
      </w:r>
    </w:p>
    <w:p w14:paraId="4835B051" w14:textId="77777777" w:rsidR="003A4CDB" w:rsidRPr="00AA292B" w:rsidRDefault="003A4CDB" w:rsidP="00E27F7F">
      <w:pPr>
        <w:pStyle w:val="ListParagraph"/>
        <w:spacing w:before="0" w:after="200"/>
        <w:ind w:left="0"/>
        <w:contextualSpacing w:val="0"/>
      </w:pPr>
      <w:r w:rsidRPr="00AA292B">
        <w:t>In its official response to the Select Committee’s report, the Australian Government noted:</w:t>
      </w:r>
    </w:p>
    <w:p w14:paraId="5098FB4D" w14:textId="1D6680C9" w:rsidR="003A4CDB" w:rsidRPr="00202E01" w:rsidRDefault="003A4CDB" w:rsidP="00EC7D01">
      <w:pPr>
        <w:ind w:left="425"/>
        <w:rPr>
          <w:rFonts w:eastAsiaTheme="minorHAnsi" w:cstheme="minorBidi"/>
          <w:i/>
          <w:iCs/>
          <w:lang w:val="en-AU"/>
        </w:rPr>
      </w:pPr>
      <w:r w:rsidRPr="00DF5FB4">
        <w:rPr>
          <w:rFonts w:eastAsiaTheme="minorHAnsi" w:cstheme="minorBidi"/>
          <w:i/>
          <w:iCs/>
          <w:lang w:val="en-AU"/>
        </w:rPr>
        <w:t xml:space="preserve">“Development of a National Autism Strategy should provide a coordinated, long-term approach to how governments work to improve outcomes for </w:t>
      </w:r>
      <w:r w:rsidR="007D60AD">
        <w:rPr>
          <w:rFonts w:eastAsiaTheme="minorHAnsi" w:cstheme="minorBidi"/>
          <w:i/>
          <w:iCs/>
          <w:lang w:val="en-AU"/>
        </w:rPr>
        <w:t>Autistic</w:t>
      </w:r>
      <w:r w:rsidRPr="00DF5FB4">
        <w:rPr>
          <w:rFonts w:eastAsiaTheme="minorHAnsi" w:cstheme="minorBidi"/>
          <w:i/>
          <w:iCs/>
          <w:lang w:val="en-AU"/>
        </w:rPr>
        <w:t xml:space="preserve"> people.”</w:t>
      </w:r>
      <w:r w:rsidRPr="00EC7D01">
        <w:rPr>
          <w:rFonts w:eastAsiaTheme="minorHAnsi" w:cstheme="minorBidi"/>
          <w:i/>
          <w:iCs/>
          <w:vertAlign w:val="superscript"/>
          <w:lang w:val="en-AU"/>
        </w:rPr>
        <w:endnoteReference w:id="5"/>
      </w:r>
    </w:p>
    <w:p w14:paraId="639D5888" w14:textId="77777777" w:rsidR="00A429DC" w:rsidRDefault="003A4CDB" w:rsidP="00E27F7F">
      <w:pPr>
        <w:pStyle w:val="ListParagraph"/>
        <w:spacing w:before="0" w:after="200"/>
        <w:ind w:left="0"/>
        <w:contextualSpacing w:val="0"/>
      </w:pPr>
      <w:r w:rsidRPr="00AA292B">
        <w:t>AFDO’s observation is that the draft Strategy falls well short of this commitment. The final Strategy must create a mechanism:</w:t>
      </w:r>
    </w:p>
    <w:p w14:paraId="285CBA9C" w14:textId="77777777" w:rsidR="00E27F7F" w:rsidRDefault="003A4CDB" w:rsidP="00E27F7F">
      <w:pPr>
        <w:pStyle w:val="ListParagraph"/>
        <w:numPr>
          <w:ilvl w:val="0"/>
          <w:numId w:val="17"/>
        </w:numPr>
        <w:spacing w:before="0" w:after="120"/>
        <w:ind w:left="714" w:hanging="357"/>
        <w:contextualSpacing w:val="0"/>
      </w:pPr>
      <w:r w:rsidRPr="00AA292B">
        <w:t>To coordinate broad-based change across all levels of Government, and</w:t>
      </w:r>
    </w:p>
    <w:p w14:paraId="75035DC1" w14:textId="1DBAF52E" w:rsidR="003A4CDB" w:rsidRPr="00AA292B" w:rsidRDefault="003A4CDB" w:rsidP="00E27F7F">
      <w:pPr>
        <w:pStyle w:val="ListParagraph"/>
        <w:numPr>
          <w:ilvl w:val="0"/>
          <w:numId w:val="17"/>
        </w:numPr>
        <w:spacing w:before="0" w:after="200"/>
        <w:contextualSpacing w:val="0"/>
      </w:pPr>
      <w:r w:rsidRPr="00AA292B">
        <w:t>For complex inter-jurisdictional issues to be dealt with by the Disability Reform Ministerial Council.</w:t>
      </w:r>
    </w:p>
    <w:p w14:paraId="347040A0" w14:textId="14F45B1C" w:rsidR="000159FA" w:rsidRPr="00147620" w:rsidRDefault="00A429DC" w:rsidP="000159FA">
      <w:r>
        <w:rPr>
          <w:noProof/>
          <w:lang w:val="en-AU"/>
        </w:rPr>
        <mc:AlternateContent>
          <mc:Choice Requires="wps">
            <w:drawing>
              <wp:anchor distT="0" distB="0" distL="114300" distR="114300" simplePos="0" relativeHeight="251663360" behindDoc="0" locked="0" layoutInCell="1" allowOverlap="1" wp14:anchorId="325B3037" wp14:editId="2570C0CF">
                <wp:simplePos x="0" y="0"/>
                <wp:positionH relativeFrom="margin">
                  <wp:align>left</wp:align>
                </wp:positionH>
                <wp:positionV relativeFrom="paragraph">
                  <wp:posOffset>1007687</wp:posOffset>
                </wp:positionV>
                <wp:extent cx="6040120" cy="0"/>
                <wp:effectExtent l="0" t="19050" r="36830" b="19050"/>
                <wp:wrapNone/>
                <wp:docPr id="75618186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0120" cy="0"/>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98D5A" id="Straight Connector 1" o:spid="_x0000_s1026" alt="&quot;&quot;"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79.35pt" to="475.6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" strokecolor="teal" strokeweight="2.5pt">
                <v:stroke linestyle="thinThick" joinstyle="miter"/>
                <w10:wrap anchorx="margin"/>
              </v:line>
            </w:pict>
          </mc:Fallback>
        </mc:AlternateContent>
      </w:r>
      <w:r w:rsidR="003A4CDB" w:rsidRPr="00AA292B">
        <w:t>We can only assume it is this fear of tackling interjurisdictional issues that has resulted in education, housing</w:t>
      </w:r>
      <w:r w:rsidR="00E27F7F">
        <w:t>,</w:t>
      </w:r>
      <w:r w:rsidR="003A4CDB" w:rsidRPr="00AA292B">
        <w:t xml:space="preserve"> and justice being largely absent from the Strategy</w:t>
      </w:r>
      <w:r w:rsidR="00E27F7F">
        <w:t>,</w:t>
      </w:r>
      <w:r w:rsidR="003A4CDB">
        <w:t xml:space="preserve"> despite the Select Committee having highlighted the appalling outcomes for </w:t>
      </w:r>
      <w:r w:rsidR="007D60AD">
        <w:t>Autistic</w:t>
      </w:r>
      <w:r w:rsidR="003A4CDB">
        <w:t xml:space="preserve"> people across each of these areas.</w:t>
      </w:r>
      <w:r>
        <w:br/>
      </w:r>
      <w:r>
        <w:br/>
      </w:r>
      <w:r w:rsidR="00147620">
        <w:br/>
      </w:r>
      <w:r w:rsidR="003A4CDB" w:rsidRPr="000159FA">
        <w:rPr>
          <w:b/>
          <w:bCs/>
          <w:color w:val="006666"/>
        </w:rPr>
        <w:t>Recommendation 6:</w:t>
      </w:r>
      <w:r w:rsidR="000159FA">
        <w:rPr>
          <w:b/>
          <w:bCs/>
        </w:rPr>
        <w:br/>
      </w:r>
      <w:r w:rsidR="003A4CDB" w:rsidRPr="00AA292B">
        <w:t>The final Strategy must create a mechanism:</w:t>
      </w:r>
    </w:p>
    <w:p w14:paraId="3FE416C5" w14:textId="77777777" w:rsidR="000159FA" w:rsidRDefault="003A4CDB" w:rsidP="000159FA">
      <w:pPr>
        <w:pStyle w:val="ListParagraph"/>
        <w:numPr>
          <w:ilvl w:val="0"/>
          <w:numId w:val="18"/>
        </w:numPr>
        <w:spacing w:before="0" w:after="120"/>
        <w:ind w:left="714" w:hanging="357"/>
        <w:contextualSpacing w:val="0"/>
      </w:pPr>
      <w:r w:rsidRPr="00AA292B">
        <w:t>To coordinate broad-based change across all levels of Government, and</w:t>
      </w:r>
    </w:p>
    <w:p w14:paraId="3172A306" w14:textId="5E1AC1AD" w:rsidR="0068160D" w:rsidRDefault="003A4CDB" w:rsidP="00953487">
      <w:pPr>
        <w:pStyle w:val="ListParagraph"/>
        <w:numPr>
          <w:ilvl w:val="0"/>
          <w:numId w:val="18"/>
        </w:numPr>
        <w:spacing w:before="0" w:after="200"/>
        <w:contextualSpacing w:val="0"/>
      </w:pPr>
      <w:r w:rsidRPr="00AA292B">
        <w:t>For complex inter-jurisdictional issues to be dealt with by the Disability Reform Ministerial Council.</w:t>
      </w:r>
    </w:p>
    <w:p w14:paraId="4621FA57" w14:textId="3A04ABB7" w:rsidR="00147620" w:rsidRDefault="00147620" w:rsidP="00147620">
      <w:r>
        <w:rPr>
          <w:noProof/>
          <w:lang w:val="en-AU"/>
        </w:rPr>
        <mc:AlternateContent>
          <mc:Choice Requires="wps">
            <w:drawing>
              <wp:anchor distT="0" distB="0" distL="114300" distR="114300" simplePos="0" relativeHeight="251679744" behindDoc="0" locked="0" layoutInCell="1" allowOverlap="1" wp14:anchorId="603C5775" wp14:editId="1B5BDCEB">
                <wp:simplePos x="0" y="0"/>
                <wp:positionH relativeFrom="margin">
                  <wp:align>left</wp:align>
                </wp:positionH>
                <wp:positionV relativeFrom="paragraph">
                  <wp:posOffset>37465</wp:posOffset>
                </wp:positionV>
                <wp:extent cx="6040120" cy="0"/>
                <wp:effectExtent l="0" t="19050" r="36830" b="19050"/>
                <wp:wrapNone/>
                <wp:docPr id="134652253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0120" cy="0"/>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95CEE" id="Straight Connector 1" o:spid="_x0000_s1026" alt="&quot;&quot;"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2.95pt" to="475.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" strokecolor="teal" strokeweight="2.5pt">
                <v:stroke linestyle="thinThick" joinstyle="miter"/>
                <w10:wrap anchorx="margin"/>
              </v:line>
            </w:pict>
          </mc:Fallback>
        </mc:AlternateContent>
      </w:r>
    </w:p>
    <w:p w14:paraId="3FEEC393" w14:textId="2202928B" w:rsidR="00C03EE9" w:rsidRDefault="00C03EE9" w:rsidP="00C03EE9">
      <w:pPr>
        <w:pStyle w:val="Heading2"/>
        <w:numPr>
          <w:ilvl w:val="0"/>
          <w:numId w:val="5"/>
        </w:numPr>
        <w:rPr>
          <w:rFonts w:cs="Arial"/>
          <w:sz w:val="32"/>
          <w:szCs w:val="32"/>
        </w:rPr>
      </w:pPr>
      <w:bookmarkStart w:id="12" w:name="_Toc168987941"/>
      <w:r w:rsidRPr="00AA292B">
        <w:rPr>
          <w:rFonts w:cs="Arial"/>
          <w:sz w:val="32"/>
          <w:szCs w:val="32"/>
        </w:rPr>
        <w:lastRenderedPageBreak/>
        <w:t>Feedbac</w:t>
      </w:r>
      <w:r>
        <w:rPr>
          <w:rFonts w:cs="Arial"/>
          <w:sz w:val="32"/>
          <w:szCs w:val="32"/>
        </w:rPr>
        <w:t>k</w:t>
      </w:r>
      <w:r w:rsidRPr="00AA292B">
        <w:rPr>
          <w:rFonts w:cs="Arial"/>
          <w:sz w:val="32"/>
          <w:szCs w:val="32"/>
        </w:rPr>
        <w:t xml:space="preserve"> on the </w:t>
      </w:r>
      <w:r w:rsidR="00BE5F42">
        <w:rPr>
          <w:rFonts w:cs="Arial"/>
          <w:sz w:val="32"/>
          <w:szCs w:val="32"/>
        </w:rPr>
        <w:t>G</w:t>
      </w:r>
      <w:r w:rsidRPr="00AA292B">
        <w:rPr>
          <w:rFonts w:cs="Arial"/>
          <w:sz w:val="32"/>
          <w:szCs w:val="32"/>
        </w:rPr>
        <w:t xml:space="preserve">uiding </w:t>
      </w:r>
      <w:r w:rsidR="00BE5F42">
        <w:rPr>
          <w:rFonts w:cs="Arial"/>
          <w:sz w:val="32"/>
          <w:szCs w:val="32"/>
        </w:rPr>
        <w:t>P</w:t>
      </w:r>
      <w:r w:rsidRPr="00AA292B">
        <w:rPr>
          <w:rFonts w:cs="Arial"/>
          <w:sz w:val="32"/>
          <w:szCs w:val="32"/>
        </w:rPr>
        <w:t>rinciples included in the Strategy</w:t>
      </w:r>
      <w:bookmarkEnd w:id="12"/>
    </w:p>
    <w:p w14:paraId="5C52B6E6" w14:textId="30B745D6" w:rsidR="00701604" w:rsidRPr="00701604" w:rsidRDefault="00701604" w:rsidP="007145F0">
      <w:pPr>
        <w:spacing w:after="120"/>
        <w:rPr>
          <w:lang w:val="en"/>
        </w:rPr>
      </w:pPr>
      <w:r w:rsidRPr="00701604">
        <w:rPr>
          <w:lang w:val="en"/>
        </w:rPr>
        <w:t xml:space="preserve">We support </w:t>
      </w:r>
      <w:r w:rsidR="00CB0445" w:rsidRPr="00701604">
        <w:rPr>
          <w:lang w:val="en"/>
        </w:rPr>
        <w:t>all</w:t>
      </w:r>
      <w:r w:rsidR="00CB0445">
        <w:rPr>
          <w:lang w:val="en"/>
        </w:rPr>
        <w:t xml:space="preserve"> </w:t>
      </w:r>
      <w:r w:rsidRPr="00701604">
        <w:rPr>
          <w:lang w:val="en"/>
        </w:rPr>
        <w:t xml:space="preserve">the </w:t>
      </w:r>
      <w:r w:rsidR="00B43E88">
        <w:rPr>
          <w:lang w:val="en"/>
        </w:rPr>
        <w:t>G</w:t>
      </w:r>
      <w:r w:rsidRPr="00701604">
        <w:rPr>
          <w:lang w:val="en"/>
        </w:rPr>
        <w:t xml:space="preserve">uiding </w:t>
      </w:r>
      <w:r w:rsidR="00B43E88">
        <w:rPr>
          <w:lang w:val="en"/>
        </w:rPr>
        <w:t>P</w:t>
      </w:r>
      <w:r w:rsidRPr="00701604">
        <w:rPr>
          <w:lang w:val="en"/>
        </w:rPr>
        <w:t>rinciples included in the draft Strategy, but wish to offer comments on the following two principles:</w:t>
      </w:r>
    </w:p>
    <w:p w14:paraId="6C3F8139" w14:textId="77777777" w:rsidR="00701604" w:rsidRPr="00CB0445" w:rsidRDefault="00701604" w:rsidP="007145F0">
      <w:pPr>
        <w:pStyle w:val="ListParagraph"/>
        <w:numPr>
          <w:ilvl w:val="0"/>
          <w:numId w:val="21"/>
        </w:numPr>
        <w:tabs>
          <w:tab w:val="num" w:pos="360"/>
        </w:tabs>
        <w:spacing w:before="0" w:after="200"/>
        <w:rPr>
          <w:b/>
          <w:bCs/>
          <w:lang w:val="en"/>
        </w:rPr>
      </w:pPr>
      <w:r w:rsidRPr="00CB0445">
        <w:rPr>
          <w:b/>
          <w:bCs/>
          <w:lang w:val="en"/>
        </w:rPr>
        <w:t>In partnership - Nothing about us, without us</w:t>
      </w:r>
    </w:p>
    <w:p w14:paraId="43B20627" w14:textId="657FB33B" w:rsidR="00701604" w:rsidRPr="00CB0445" w:rsidRDefault="00701604" w:rsidP="007145F0">
      <w:pPr>
        <w:pStyle w:val="ListParagraph"/>
        <w:numPr>
          <w:ilvl w:val="0"/>
          <w:numId w:val="21"/>
        </w:numPr>
        <w:tabs>
          <w:tab w:val="num" w:pos="360"/>
        </w:tabs>
        <w:spacing w:before="0" w:after="200"/>
        <w:rPr>
          <w:b/>
          <w:bCs/>
          <w:lang w:val="en"/>
        </w:rPr>
      </w:pPr>
      <w:r w:rsidRPr="00CB0445">
        <w:rPr>
          <w:b/>
          <w:bCs/>
          <w:lang w:val="en"/>
        </w:rPr>
        <w:t>Accessible based on Universal Design</w:t>
      </w:r>
    </w:p>
    <w:p w14:paraId="1FA2E0D5" w14:textId="0E9C2900" w:rsidR="00701604" w:rsidRPr="00701604" w:rsidRDefault="00701604" w:rsidP="007145F0">
      <w:pPr>
        <w:spacing w:after="120"/>
      </w:pPr>
      <w:r w:rsidRPr="00701604">
        <w:rPr>
          <w:lang w:val="en-AU"/>
        </w:rPr>
        <w:t xml:space="preserve">We would also like to see </w:t>
      </w:r>
      <w:r w:rsidRPr="00701604">
        <w:t>'Freedom of expression and opinion and access to information</w:t>
      </w:r>
      <w:r w:rsidR="00CB0445">
        <w:t>’</w:t>
      </w:r>
      <w:r w:rsidRPr="00701604">
        <w:t xml:space="preserve"> </w:t>
      </w:r>
      <w:r w:rsidR="00CB0445">
        <w:t>l</w:t>
      </w:r>
      <w:r w:rsidRPr="00701604">
        <w:t xml:space="preserve">isted as a </w:t>
      </w:r>
      <w:r w:rsidR="00CB0445">
        <w:t>G</w:t>
      </w:r>
      <w:r w:rsidRPr="00701604">
        <w:t xml:space="preserve">uiding </w:t>
      </w:r>
      <w:r w:rsidR="00CB0445">
        <w:t>P</w:t>
      </w:r>
      <w:r w:rsidRPr="00701604">
        <w:t>rinciple underneath the final Strategy. This is critical to upholding Article 21 of the CRPD. As such, the Strategy must recognise that:</w:t>
      </w:r>
    </w:p>
    <w:p w14:paraId="41386D8E" w14:textId="77777777" w:rsidR="00CB0445" w:rsidRDefault="00701604" w:rsidP="007145F0">
      <w:pPr>
        <w:pStyle w:val="ListParagraph"/>
        <w:numPr>
          <w:ilvl w:val="0"/>
          <w:numId w:val="22"/>
        </w:numPr>
        <w:tabs>
          <w:tab w:val="num" w:pos="360"/>
        </w:tabs>
        <w:spacing w:before="0" w:after="200"/>
      </w:pPr>
      <w:r w:rsidRPr="00701604">
        <w:t>Autistic people use a range of communication methods and devices.</w:t>
      </w:r>
    </w:p>
    <w:p w14:paraId="4763A6F1" w14:textId="77777777" w:rsidR="00CB0445" w:rsidRDefault="00701604" w:rsidP="007145F0">
      <w:pPr>
        <w:pStyle w:val="ListParagraph"/>
        <w:numPr>
          <w:ilvl w:val="0"/>
          <w:numId w:val="22"/>
        </w:numPr>
        <w:tabs>
          <w:tab w:val="num" w:pos="360"/>
        </w:tabs>
        <w:spacing w:before="0" w:after="200"/>
      </w:pPr>
      <w:r w:rsidRPr="00701604">
        <w:t>Autistic people must have choice and control over the methods and devices they use to communicate.</w:t>
      </w:r>
    </w:p>
    <w:p w14:paraId="114A9DDF" w14:textId="619C61E0" w:rsidR="00701604" w:rsidRPr="00701604" w:rsidRDefault="00701604" w:rsidP="007145F0">
      <w:pPr>
        <w:pStyle w:val="ListParagraph"/>
        <w:numPr>
          <w:ilvl w:val="0"/>
          <w:numId w:val="22"/>
        </w:numPr>
        <w:tabs>
          <w:tab w:val="num" w:pos="360"/>
        </w:tabs>
        <w:spacing w:before="0" w:after="200"/>
      </w:pPr>
      <w:r w:rsidRPr="00701604">
        <w:t>We need to foster greater community awareness and understanding of the various ways in which Autistic people communicate.</w:t>
      </w:r>
    </w:p>
    <w:p w14:paraId="0CE73BAE" w14:textId="27519C35" w:rsidR="00CB0445" w:rsidRPr="00701604" w:rsidRDefault="00CB0445" w:rsidP="007145F0">
      <w:pPr>
        <w:contextualSpacing/>
      </w:pPr>
      <w:r>
        <w:rPr>
          <w:noProof/>
          <w:lang w:val="en-AU"/>
        </w:rPr>
        <mc:AlternateContent>
          <mc:Choice Requires="wps">
            <w:drawing>
              <wp:anchor distT="0" distB="0" distL="114300" distR="114300" simplePos="0" relativeHeight="251665408" behindDoc="0" locked="0" layoutInCell="1" allowOverlap="1" wp14:anchorId="17448C89" wp14:editId="77E19DD4">
                <wp:simplePos x="0" y="0"/>
                <wp:positionH relativeFrom="margin">
                  <wp:posOffset>0</wp:posOffset>
                </wp:positionH>
                <wp:positionV relativeFrom="paragraph">
                  <wp:posOffset>18415</wp:posOffset>
                </wp:positionV>
                <wp:extent cx="6040120" cy="0"/>
                <wp:effectExtent l="0" t="19050" r="36830" b="19050"/>
                <wp:wrapNone/>
                <wp:docPr id="38519175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0120" cy="0"/>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F1F20" id="Straight Connector 1" o:spid="_x0000_s1026" alt="&quot;&quot;"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1.45pt" to="47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" strokecolor="teal" strokeweight="2.5pt">
                <v:stroke linestyle="thinThick" joinstyle="miter"/>
                <w10:wrap anchorx="margin"/>
              </v:line>
            </w:pict>
          </mc:Fallback>
        </mc:AlternateContent>
      </w:r>
    </w:p>
    <w:p w14:paraId="5BAACA37" w14:textId="59A25F1D" w:rsidR="00701604" w:rsidRPr="00701604" w:rsidRDefault="00701604" w:rsidP="007145F0">
      <w:pPr>
        <w:rPr>
          <w:b/>
          <w:bCs/>
          <w:color w:val="006666"/>
          <w:lang w:val="en-AU"/>
        </w:rPr>
      </w:pPr>
      <w:r w:rsidRPr="00701604">
        <w:rPr>
          <w:b/>
          <w:bCs/>
          <w:color w:val="006666"/>
          <w:lang w:val="en-AU"/>
        </w:rPr>
        <w:t>Recommendation 7:</w:t>
      </w:r>
      <w:r w:rsidR="00CB0445">
        <w:rPr>
          <w:b/>
          <w:bCs/>
          <w:color w:val="006666"/>
          <w:lang w:val="en-AU"/>
        </w:rPr>
        <w:br/>
      </w:r>
      <w:r w:rsidR="00CB0445">
        <w:rPr>
          <w:lang w:val="en-AU"/>
        </w:rPr>
        <w:t>‘</w:t>
      </w:r>
      <w:r w:rsidRPr="00701604">
        <w:t>Freedom of expression and opinion and access to information</w:t>
      </w:r>
      <w:r w:rsidR="00CB0445">
        <w:t>’</w:t>
      </w:r>
      <w:r w:rsidRPr="00701604">
        <w:t xml:space="preserve"> must be referenced as a </w:t>
      </w:r>
      <w:r w:rsidR="00CB0445">
        <w:t>G</w:t>
      </w:r>
      <w:r w:rsidRPr="00701604">
        <w:t xml:space="preserve">uiding </w:t>
      </w:r>
      <w:r w:rsidR="00CB0445">
        <w:t>P</w:t>
      </w:r>
      <w:r w:rsidRPr="00701604">
        <w:t>rinciple under the final Strategy to give rise to Article 21 of the CRPD.</w:t>
      </w:r>
    </w:p>
    <w:p w14:paraId="421C7998" w14:textId="4346A2D0" w:rsidR="00701604" w:rsidRPr="00701604" w:rsidRDefault="003903C6" w:rsidP="007145F0">
      <w:pPr>
        <w:rPr>
          <w:lang w:val="en-AU"/>
        </w:rPr>
      </w:pPr>
      <w:r>
        <w:rPr>
          <w:noProof/>
          <w:lang w:val="en-AU"/>
        </w:rPr>
        <mc:AlternateContent>
          <mc:Choice Requires="wps">
            <w:drawing>
              <wp:anchor distT="0" distB="0" distL="114300" distR="114300" simplePos="0" relativeHeight="251667456" behindDoc="0" locked="0" layoutInCell="1" allowOverlap="1" wp14:anchorId="092DFA58" wp14:editId="688CD03D">
                <wp:simplePos x="0" y="0"/>
                <wp:positionH relativeFrom="margin">
                  <wp:align>left</wp:align>
                </wp:positionH>
                <wp:positionV relativeFrom="paragraph">
                  <wp:posOffset>41275</wp:posOffset>
                </wp:positionV>
                <wp:extent cx="6040120" cy="0"/>
                <wp:effectExtent l="0" t="19050" r="36830" b="19050"/>
                <wp:wrapNone/>
                <wp:docPr id="28083503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0120" cy="0"/>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AED42" id="Straight Connector 1" o:spid="_x0000_s1026" alt="&quot;&quot;"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" strokecolor="teal" strokeweight="2.5pt">
                <v:stroke linestyle="thinThick" joinstyle="miter"/>
                <w10:wrap anchorx="margin"/>
              </v:line>
            </w:pict>
          </mc:Fallback>
        </mc:AlternateContent>
      </w:r>
    </w:p>
    <w:p w14:paraId="59719F59" w14:textId="16F800E2" w:rsidR="00701604" w:rsidRPr="00701604" w:rsidRDefault="00701604" w:rsidP="00437327">
      <w:pPr>
        <w:pStyle w:val="Heading3"/>
      </w:pPr>
      <w:bookmarkStart w:id="13" w:name="_Toc168987942"/>
      <w:r w:rsidRPr="00701604">
        <w:t>In partnership - Nothing about us, without us</w:t>
      </w:r>
      <w:bookmarkEnd w:id="13"/>
    </w:p>
    <w:p w14:paraId="7EAD1CCD" w14:textId="35010658" w:rsidR="00CB0445" w:rsidRDefault="00701604" w:rsidP="007145F0">
      <w:pPr>
        <w:spacing w:after="120"/>
        <w:rPr>
          <w:lang w:val="en-AU"/>
        </w:rPr>
      </w:pPr>
      <w:r w:rsidRPr="00701604">
        <w:rPr>
          <w:i/>
          <w:iCs/>
          <w:lang w:val="en-AU"/>
        </w:rPr>
        <w:t xml:space="preserve"> “Nothing about us without us”</w:t>
      </w:r>
      <w:r w:rsidRPr="00701604">
        <w:rPr>
          <w:lang w:val="en-AU"/>
        </w:rPr>
        <w:t xml:space="preserve"> is the mantra of the disability rights movement internationally. It speaks to the need to actively involve people with disability and their representative organisations in all matters that affect them. This obligation is set out underneath</w:t>
      </w:r>
      <w:r w:rsidR="007145F0">
        <w:rPr>
          <w:lang w:val="en-AU"/>
        </w:rPr>
        <w:t>:</w:t>
      </w:r>
      <w:r w:rsidRPr="00701604">
        <w:rPr>
          <w:lang w:val="en-AU"/>
        </w:rPr>
        <w:t xml:space="preserve"> </w:t>
      </w:r>
    </w:p>
    <w:p w14:paraId="1F43935B" w14:textId="77777777" w:rsidR="00CB0445" w:rsidRPr="00CB0445" w:rsidRDefault="00701604" w:rsidP="007145F0">
      <w:pPr>
        <w:pStyle w:val="ListParagraph"/>
        <w:numPr>
          <w:ilvl w:val="0"/>
          <w:numId w:val="23"/>
        </w:numPr>
        <w:spacing w:before="0" w:after="200"/>
        <w:rPr>
          <w:rFonts w:eastAsia="Cambria" w:cs="Times New Roman"/>
        </w:rPr>
      </w:pPr>
      <w:r w:rsidRPr="00CB0445">
        <w:rPr>
          <w:rFonts w:cs="Arial"/>
        </w:rPr>
        <w:t xml:space="preserve">Article 4:3 of the </w:t>
      </w:r>
      <w:r w:rsidRPr="00CB0445">
        <w:rPr>
          <w:rFonts w:cs="Arial"/>
          <w:i/>
          <w:iCs/>
        </w:rPr>
        <w:t>Convention on the Rights of Persons with Disabilities</w:t>
      </w:r>
      <w:r w:rsidRPr="00CB0445">
        <w:rPr>
          <w:rFonts w:cs="Arial"/>
        </w:rPr>
        <w:t>.</w:t>
      </w:r>
      <w:r w:rsidRPr="00701604">
        <w:rPr>
          <w:vertAlign w:val="superscript"/>
        </w:rPr>
        <w:endnoteReference w:id="6"/>
      </w:r>
    </w:p>
    <w:p w14:paraId="40BB0B92" w14:textId="6A177BD9" w:rsidR="00701604" w:rsidRPr="00AB42EC" w:rsidRDefault="00701604" w:rsidP="007145F0">
      <w:pPr>
        <w:pStyle w:val="ListParagraph"/>
        <w:numPr>
          <w:ilvl w:val="0"/>
          <w:numId w:val="23"/>
        </w:numPr>
        <w:spacing w:before="0" w:after="200"/>
        <w:rPr>
          <w:rFonts w:eastAsia="Cambria" w:cs="Times New Roman"/>
        </w:rPr>
      </w:pPr>
      <w:r w:rsidRPr="00CB0445">
        <w:rPr>
          <w:rFonts w:cs="Arial"/>
        </w:rPr>
        <w:t xml:space="preserve">General comment No. 7 on the </w:t>
      </w:r>
      <w:r w:rsidR="00CB0445">
        <w:rPr>
          <w:rFonts w:cs="Arial"/>
        </w:rPr>
        <w:t>P</w:t>
      </w:r>
      <w:r w:rsidRPr="00CB0445">
        <w:rPr>
          <w:rFonts w:cs="Arial"/>
        </w:rPr>
        <w:t>articipation of persons with disabilities through their representative organisations in the implementation and monitoring of the Convention.</w:t>
      </w:r>
      <w:r w:rsidRPr="00701604">
        <w:rPr>
          <w:vertAlign w:val="superscript"/>
        </w:rPr>
        <w:endnoteReference w:id="7"/>
      </w:r>
    </w:p>
    <w:p w14:paraId="62B7B72E" w14:textId="1AF9CEC9" w:rsidR="00701604" w:rsidRDefault="00701604" w:rsidP="007145F0">
      <w:pPr>
        <w:rPr>
          <w:lang w:val="en-AU"/>
        </w:rPr>
      </w:pPr>
      <w:r w:rsidRPr="00701604">
        <w:rPr>
          <w:lang w:val="en-AU"/>
        </w:rPr>
        <w:t xml:space="preserve">We agree that this </w:t>
      </w:r>
      <w:r w:rsidR="004D12E9">
        <w:rPr>
          <w:lang w:val="en-AU"/>
        </w:rPr>
        <w:t>G</w:t>
      </w:r>
      <w:r w:rsidRPr="00701604">
        <w:rPr>
          <w:lang w:val="en-AU"/>
        </w:rPr>
        <w:t xml:space="preserve">uiding </w:t>
      </w:r>
      <w:r w:rsidR="004D12E9">
        <w:rPr>
          <w:lang w:val="en-AU"/>
        </w:rPr>
        <w:t>P</w:t>
      </w:r>
      <w:r w:rsidRPr="00701604">
        <w:rPr>
          <w:lang w:val="en-AU"/>
        </w:rPr>
        <w:t>rinciple must be central to the development, implementation</w:t>
      </w:r>
      <w:r w:rsidR="00622FDE">
        <w:rPr>
          <w:lang w:val="en-AU"/>
        </w:rPr>
        <w:t>,</w:t>
      </w:r>
      <w:r w:rsidRPr="00701604">
        <w:rPr>
          <w:lang w:val="en-AU"/>
        </w:rPr>
        <w:t xml:space="preserve"> and monitoring of the National Autism Strategy and associated frameworks. Regrettably, however, the outcomes of the most recent Disability Representative Organisations (DRO) funding round do not reflect this sentiment</w:t>
      </w:r>
      <w:r w:rsidR="00E475DB">
        <w:rPr>
          <w:lang w:val="en-AU"/>
        </w:rPr>
        <w:t xml:space="preserve"> or demonstrate equity of funding of representative organisations. The Department is responsible for the DRO Program which lacks transparency in its operation, decision making, funding rationale or equity between selected organisations contrary to ensuring adherence the Guiding Principle. </w:t>
      </w:r>
    </w:p>
    <w:p w14:paraId="24E4615A" w14:textId="77777777" w:rsidR="00E475DB" w:rsidRPr="00701604" w:rsidRDefault="00E475DB" w:rsidP="007145F0">
      <w:pPr>
        <w:rPr>
          <w:lang w:val="en-AU"/>
        </w:rPr>
      </w:pPr>
    </w:p>
    <w:p w14:paraId="7A1E4D1A" w14:textId="414D0C7A" w:rsidR="00701604" w:rsidRPr="00701604" w:rsidRDefault="00701604" w:rsidP="007145F0">
      <w:pPr>
        <w:rPr>
          <w:lang w:val="en-AU"/>
        </w:rPr>
      </w:pPr>
      <w:r w:rsidRPr="00701604">
        <w:rPr>
          <w:lang w:val="en-AU"/>
        </w:rPr>
        <w:lastRenderedPageBreak/>
        <w:t xml:space="preserve">It is critical that organisations of and for Autistic people are adequately funded to meaningfully contribute to the reforms arising out of the NDIS Review and the Disability Royal Commission. Such organisations will also play a critical role in facilitating the effective implementation and monitoring of the National Autism Strategy and associated </w:t>
      </w:r>
      <w:r w:rsidR="004D12E9" w:rsidRPr="00701604">
        <w:rPr>
          <w:lang w:val="en-AU"/>
        </w:rPr>
        <w:t>frameworks and</w:t>
      </w:r>
      <w:r w:rsidRPr="00701604">
        <w:rPr>
          <w:lang w:val="en-AU"/>
        </w:rPr>
        <w:t xml:space="preserve"> must be adequately resourced to undertake this work.</w:t>
      </w:r>
    </w:p>
    <w:p w14:paraId="7780DDAC" w14:textId="01FEB964" w:rsidR="00701604" w:rsidRPr="00701604" w:rsidRDefault="00701604" w:rsidP="007145F0">
      <w:pPr>
        <w:rPr>
          <w:lang w:val="en-AU"/>
        </w:rPr>
      </w:pPr>
      <w:r w:rsidRPr="00701604">
        <w:rPr>
          <w:lang w:val="en-AU"/>
        </w:rPr>
        <w:t xml:space="preserve">We are also mindful that “consultation” and “co-design” are terms that are commonly thrown around by </w:t>
      </w:r>
      <w:r w:rsidR="004D12E9">
        <w:rPr>
          <w:lang w:val="en-AU"/>
        </w:rPr>
        <w:t>g</w:t>
      </w:r>
      <w:r w:rsidRPr="00701604">
        <w:rPr>
          <w:lang w:val="en-AU"/>
        </w:rPr>
        <w:t xml:space="preserve">overnment </w:t>
      </w:r>
      <w:r w:rsidR="004D12E9">
        <w:rPr>
          <w:lang w:val="en-AU"/>
        </w:rPr>
        <w:t>d</w:t>
      </w:r>
      <w:r w:rsidRPr="00701604">
        <w:rPr>
          <w:lang w:val="en-AU"/>
        </w:rPr>
        <w:t xml:space="preserve">epartments without being clearly articulated or defined. AFDO has very clear expectations as to what these two processes should look like. We are currently working with our 37 </w:t>
      </w:r>
      <w:r w:rsidR="004D12E9">
        <w:rPr>
          <w:lang w:val="en-AU"/>
        </w:rPr>
        <w:t>M</w:t>
      </w:r>
      <w:r w:rsidRPr="00701604">
        <w:rPr>
          <w:lang w:val="en-AU"/>
        </w:rPr>
        <w:t xml:space="preserve">ember </w:t>
      </w:r>
      <w:r w:rsidR="004D12E9" w:rsidRPr="00701604">
        <w:rPr>
          <w:lang w:val="en-AU"/>
        </w:rPr>
        <w:t>organisations to</w:t>
      </w:r>
      <w:r w:rsidRPr="00701604">
        <w:rPr>
          <w:lang w:val="en-AU"/>
        </w:rPr>
        <w:t xml:space="preserve"> finalise our position statement on consultation and co-design, which we w</w:t>
      </w:r>
      <w:r w:rsidR="00E475DB">
        <w:rPr>
          <w:lang w:val="en-AU"/>
        </w:rPr>
        <w:t xml:space="preserve">ill </w:t>
      </w:r>
      <w:r w:rsidRPr="00701604">
        <w:rPr>
          <w:lang w:val="en-AU"/>
        </w:rPr>
        <w:t xml:space="preserve">provide to the Department once </w:t>
      </w:r>
      <w:r w:rsidR="00BC7718">
        <w:rPr>
          <w:lang w:val="en-AU"/>
        </w:rPr>
        <w:t>complete</w:t>
      </w:r>
      <w:r w:rsidR="00EE3D3C">
        <w:rPr>
          <w:lang w:val="en-AU"/>
        </w:rPr>
        <w:t>d</w:t>
      </w:r>
      <w:r w:rsidR="00E475DB">
        <w:rPr>
          <w:lang w:val="en-AU"/>
        </w:rPr>
        <w:t xml:space="preserve"> in June 2024</w:t>
      </w:r>
      <w:r w:rsidRPr="00701604">
        <w:rPr>
          <w:lang w:val="en-AU"/>
        </w:rPr>
        <w:t>.</w:t>
      </w:r>
    </w:p>
    <w:p w14:paraId="25C4F9CF" w14:textId="778BC070" w:rsidR="00701604" w:rsidRPr="00701604" w:rsidRDefault="00EE3D3C" w:rsidP="007145F0">
      <w:pPr>
        <w:rPr>
          <w:lang w:val="en-AU"/>
        </w:rPr>
      </w:pPr>
      <w:r>
        <w:rPr>
          <w:noProof/>
          <w:lang w:val="en-AU"/>
        </w:rPr>
        <mc:AlternateContent>
          <mc:Choice Requires="wps">
            <w:drawing>
              <wp:anchor distT="0" distB="0" distL="114300" distR="114300" simplePos="0" relativeHeight="251669504" behindDoc="0" locked="0" layoutInCell="1" allowOverlap="1" wp14:anchorId="4762769B" wp14:editId="065B9CB8">
                <wp:simplePos x="0" y="0"/>
                <wp:positionH relativeFrom="margin">
                  <wp:posOffset>-6581</wp:posOffset>
                </wp:positionH>
                <wp:positionV relativeFrom="paragraph">
                  <wp:posOffset>99319</wp:posOffset>
                </wp:positionV>
                <wp:extent cx="6057496" cy="20291"/>
                <wp:effectExtent l="19050" t="19050" r="19685" b="37465"/>
                <wp:wrapNone/>
                <wp:docPr id="3073462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1360C" id="Straight Connector 1" o:spid="_x0000_s1026" alt="&quot;&quot;"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7.8pt" to="476.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" strokecolor="teal" strokeweight="2.5pt">
                <v:stroke linestyle="thinThick" joinstyle="miter"/>
                <w10:wrap anchorx="margin"/>
              </v:line>
            </w:pict>
          </mc:Fallback>
        </mc:AlternateContent>
      </w:r>
    </w:p>
    <w:p w14:paraId="6092F8B8" w14:textId="00BDA41E" w:rsidR="00701604" w:rsidRPr="00701604" w:rsidRDefault="00701604" w:rsidP="007145F0">
      <w:pPr>
        <w:rPr>
          <w:b/>
          <w:bCs/>
          <w:color w:val="006666"/>
          <w:lang w:val="en-AU"/>
        </w:rPr>
      </w:pPr>
      <w:r w:rsidRPr="00701604">
        <w:rPr>
          <w:b/>
          <w:bCs/>
          <w:color w:val="006666"/>
          <w:lang w:val="en-AU"/>
        </w:rPr>
        <w:t>Recommendation 8:</w:t>
      </w:r>
      <w:r w:rsidR="00EE3D3C">
        <w:rPr>
          <w:b/>
          <w:bCs/>
          <w:color w:val="006666"/>
          <w:lang w:val="en-AU"/>
        </w:rPr>
        <w:br/>
      </w:r>
      <w:r w:rsidRPr="00701604">
        <w:rPr>
          <w:lang w:val="en-AU"/>
        </w:rPr>
        <w:t xml:space="preserve">The Department must urgently review the level of funding that has been provided to Autism Aspergers Advocacy Australia (A4) under the Disability Representative Organisations (DRO) program, ensuring they receive at least $220,000 per annum in recognition of their national role and membership. This is necessary to ensure the voices of Autistic people are effectively upheld as Government approaches the development of the </w:t>
      </w:r>
      <w:r w:rsidR="00EE3D3C">
        <w:rPr>
          <w:lang w:val="en-AU"/>
        </w:rPr>
        <w:t>I</w:t>
      </w:r>
      <w:r w:rsidRPr="00701604">
        <w:rPr>
          <w:lang w:val="en-AU"/>
        </w:rPr>
        <w:t xml:space="preserve">mplementation </w:t>
      </w:r>
      <w:r w:rsidR="00EE3D3C">
        <w:rPr>
          <w:lang w:val="en-AU"/>
        </w:rPr>
        <w:t xml:space="preserve">Plan </w:t>
      </w:r>
      <w:r w:rsidRPr="00701604">
        <w:rPr>
          <w:lang w:val="en-AU"/>
        </w:rPr>
        <w:t xml:space="preserve">and </w:t>
      </w:r>
      <w:r w:rsidR="00EE3D3C">
        <w:rPr>
          <w:lang w:val="en-AU"/>
        </w:rPr>
        <w:t>O</w:t>
      </w:r>
      <w:r w:rsidRPr="00701604">
        <w:rPr>
          <w:lang w:val="en-AU"/>
        </w:rPr>
        <w:t xml:space="preserve">utcomes </w:t>
      </w:r>
      <w:r w:rsidR="00EE3D3C">
        <w:rPr>
          <w:lang w:val="en-AU"/>
        </w:rPr>
        <w:t>F</w:t>
      </w:r>
      <w:r w:rsidRPr="00701604">
        <w:rPr>
          <w:lang w:val="en-AU"/>
        </w:rPr>
        <w:t>ramework that will accompany the National Autism Strategy, as well as the reforms arising out of the Disability Royal Commission and the Independent Review of the NDIS.</w:t>
      </w:r>
    </w:p>
    <w:p w14:paraId="2860A125" w14:textId="5602F04F" w:rsidR="00EE3D3C" w:rsidRPr="00EE3D3C" w:rsidRDefault="00701604" w:rsidP="007145F0">
      <w:pPr>
        <w:spacing w:after="120"/>
        <w:rPr>
          <w:b/>
          <w:bCs/>
          <w:lang w:val="en-AU"/>
        </w:rPr>
      </w:pPr>
      <w:r w:rsidRPr="00701604">
        <w:rPr>
          <w:b/>
          <w:bCs/>
          <w:color w:val="006666"/>
          <w:lang w:val="en-AU"/>
        </w:rPr>
        <w:t>Recommendation 9:</w:t>
      </w:r>
      <w:r w:rsidR="00EE3D3C">
        <w:rPr>
          <w:b/>
          <w:bCs/>
          <w:color w:val="006666"/>
          <w:lang w:val="en-AU"/>
        </w:rPr>
        <w:br/>
      </w:r>
      <w:r w:rsidRPr="00701604">
        <w:rPr>
          <w:lang w:val="en-AU"/>
        </w:rPr>
        <w:t xml:space="preserve">The Department of Social Services must refer to AFDO’s position statement on consultation and co-design </w:t>
      </w:r>
      <w:r w:rsidR="00E475DB">
        <w:rPr>
          <w:lang w:val="en-AU"/>
        </w:rPr>
        <w:t xml:space="preserve">to be published in June 2024 </w:t>
      </w:r>
      <w:r w:rsidRPr="00701604">
        <w:rPr>
          <w:lang w:val="en-AU"/>
        </w:rPr>
        <w:t>as it:</w:t>
      </w:r>
    </w:p>
    <w:p w14:paraId="731069AF" w14:textId="77777777" w:rsidR="007145F0" w:rsidRPr="007145F0" w:rsidRDefault="00701604" w:rsidP="007145F0">
      <w:pPr>
        <w:pStyle w:val="ListParagraph"/>
        <w:numPr>
          <w:ilvl w:val="0"/>
          <w:numId w:val="24"/>
        </w:numPr>
        <w:spacing w:before="0" w:after="200"/>
        <w:rPr>
          <w:b/>
          <w:bCs/>
          <w:color w:val="006666"/>
        </w:rPr>
      </w:pPr>
      <w:r w:rsidRPr="00EE3D3C">
        <w:t>approaches the development of the Implementation Plan, Outcomes Framework, and any other documents associated with the Strategy, and</w:t>
      </w:r>
    </w:p>
    <w:p w14:paraId="3B377E48" w14:textId="506A679E" w:rsidR="00701604" w:rsidRPr="007145F0" w:rsidRDefault="00701604" w:rsidP="007145F0">
      <w:pPr>
        <w:pStyle w:val="ListParagraph"/>
        <w:numPr>
          <w:ilvl w:val="0"/>
          <w:numId w:val="24"/>
        </w:numPr>
        <w:spacing w:before="0" w:after="200"/>
        <w:rPr>
          <w:b/>
          <w:bCs/>
          <w:color w:val="006666"/>
        </w:rPr>
      </w:pPr>
      <w:r w:rsidRPr="007145F0">
        <w:t>Approaches the implementation of the various commitments referenced underneath the Strategy.</w:t>
      </w:r>
    </w:p>
    <w:p w14:paraId="3F6BF381" w14:textId="7AA0B0A5" w:rsidR="00A94DCF" w:rsidRPr="00A94DCF" w:rsidRDefault="00A94DCF" w:rsidP="00A94DCF">
      <w:pPr>
        <w:rPr>
          <w:b/>
          <w:bCs/>
          <w:color w:val="006666"/>
        </w:rPr>
      </w:pPr>
      <w:r>
        <w:rPr>
          <w:noProof/>
          <w:lang w:val="en-AU"/>
        </w:rPr>
        <mc:AlternateContent>
          <mc:Choice Requires="wps">
            <w:drawing>
              <wp:anchor distT="0" distB="0" distL="114300" distR="114300" simplePos="0" relativeHeight="251671552" behindDoc="0" locked="0" layoutInCell="1" allowOverlap="1" wp14:anchorId="01A5B0D1" wp14:editId="2B01FD35">
                <wp:simplePos x="0" y="0"/>
                <wp:positionH relativeFrom="margin">
                  <wp:align>left</wp:align>
                </wp:positionH>
                <wp:positionV relativeFrom="paragraph">
                  <wp:posOffset>94038</wp:posOffset>
                </wp:positionV>
                <wp:extent cx="6057496" cy="20291"/>
                <wp:effectExtent l="19050" t="19050" r="19685" b="37465"/>
                <wp:wrapNone/>
                <wp:docPr id="167505395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2BC0C" id="Straight Connector 1" o:spid="_x0000_s1026" alt="&quot;&quot;"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pt" to="47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" strokecolor="teal" strokeweight="2.5pt">
                <v:stroke linestyle="thinThick" joinstyle="miter"/>
                <w10:wrap anchorx="margin"/>
              </v:line>
            </w:pict>
          </mc:Fallback>
        </mc:AlternateContent>
      </w:r>
    </w:p>
    <w:p w14:paraId="6EC0FFBA" w14:textId="52209304" w:rsidR="00701604" w:rsidRPr="00701604" w:rsidRDefault="00701604" w:rsidP="00437327">
      <w:pPr>
        <w:pStyle w:val="Heading3"/>
      </w:pPr>
      <w:bookmarkStart w:id="14" w:name="_Toc168987943"/>
      <w:r w:rsidRPr="00701604">
        <w:t>Accessible based on Universal Design</w:t>
      </w:r>
      <w:bookmarkEnd w:id="14"/>
    </w:p>
    <w:p w14:paraId="6B4EF7B8" w14:textId="77777777" w:rsidR="00B57BBC" w:rsidRDefault="00701604" w:rsidP="007145F0">
      <w:r w:rsidRPr="00701604">
        <w:t xml:space="preserve">Our concern in relation to universal design stems from the fact that much of Government’s work is not undertaken </w:t>
      </w:r>
      <w:r w:rsidR="008E4DA1" w:rsidRPr="00701604">
        <w:t>in-house</w:t>
      </w:r>
      <w:r w:rsidR="008E4DA1">
        <w:t xml:space="preserve"> but</w:t>
      </w:r>
      <w:r w:rsidRPr="00701604">
        <w:t xml:space="preserve"> is </w:t>
      </w:r>
      <w:r w:rsidR="007145F0">
        <w:t xml:space="preserve">instead </w:t>
      </w:r>
      <w:r w:rsidRPr="00701604">
        <w:t>outsourced to third</w:t>
      </w:r>
      <w:r w:rsidR="008E4DA1">
        <w:t>-</w:t>
      </w:r>
      <w:r w:rsidRPr="00701604">
        <w:t xml:space="preserve">party consultancy firms who may be less committed to accessibility. </w:t>
      </w:r>
    </w:p>
    <w:p w14:paraId="54609B09" w14:textId="77777777" w:rsidR="00B57BBC" w:rsidRDefault="00701604" w:rsidP="007145F0">
      <w:r w:rsidRPr="00701604">
        <w:t xml:space="preserve">Our concerns are well-founded, as our staff have recently been prevented from undertaking some aspects of their work due to important government reports and consultation documents not being provided in accessible formats. </w:t>
      </w:r>
    </w:p>
    <w:p w14:paraId="42565ADF" w14:textId="77777777" w:rsidR="00B57BBC" w:rsidRDefault="00701604" w:rsidP="007145F0">
      <w:r w:rsidRPr="00701604">
        <w:t>This often, although not exclusively</w:t>
      </w:r>
      <w:r w:rsidR="002966E8">
        <w:t>,</w:t>
      </w:r>
      <w:r w:rsidRPr="00701604">
        <w:t xml:space="preserve"> occurs when a government department has outsourced a project to a third-party provider. The NDIS </w:t>
      </w:r>
      <w:r w:rsidR="002966E8">
        <w:t>R</w:t>
      </w:r>
      <w:r w:rsidRPr="00701604">
        <w:t xml:space="preserve">eview </w:t>
      </w:r>
      <w:r w:rsidR="002966E8">
        <w:t>R</w:t>
      </w:r>
      <w:r w:rsidRPr="00701604">
        <w:t xml:space="preserve">eport and associated fact sheets provide a perfect example of such oversights. </w:t>
      </w:r>
    </w:p>
    <w:p w14:paraId="7D1F779B" w14:textId="192883D6" w:rsidR="00701604" w:rsidRPr="00701604" w:rsidRDefault="00701604" w:rsidP="007145F0">
      <w:r w:rsidRPr="00701604">
        <w:lastRenderedPageBreak/>
        <w:t xml:space="preserve">These documents were released in a format that did not provide people who use screen reading software with equitable access to these materials. This matter has taken more than four months to resolve, </w:t>
      </w:r>
      <w:r w:rsidR="002966E8" w:rsidRPr="00701604">
        <w:t>and</w:t>
      </w:r>
      <w:r w:rsidRPr="00701604">
        <w:t xml:space="preserve"> necessitated a complaint being lodged under the </w:t>
      </w:r>
      <w:r w:rsidRPr="00701604">
        <w:rPr>
          <w:i/>
          <w:iCs/>
        </w:rPr>
        <w:t>Commonwealth Disability Discrimination Act 1992 (Cth)</w:t>
      </w:r>
      <w:r w:rsidRPr="00701604">
        <w:t>.</w:t>
      </w:r>
    </w:p>
    <w:p w14:paraId="17E28672" w14:textId="2ADCFA32" w:rsidR="00701604" w:rsidRPr="00701604" w:rsidRDefault="00A94DCF" w:rsidP="007145F0">
      <w:r>
        <w:t>A</w:t>
      </w:r>
      <w:r w:rsidR="00701604" w:rsidRPr="00701604">
        <w:t>ccessibility requirements must be clearly stated in all future requests for tender and contractual agreements with third</w:t>
      </w:r>
      <w:r>
        <w:t>-</w:t>
      </w:r>
      <w:r w:rsidR="00701604" w:rsidRPr="00701604">
        <w:t xml:space="preserve">party providers. There must also be checks and balances in place to ensure these requirements have been sufficiently met. We recommend the Department refer to our </w:t>
      </w:r>
      <w:hyperlink r:id="rId23" w:history="1">
        <w:r w:rsidR="00701604" w:rsidRPr="00701604">
          <w:rPr>
            <w:rStyle w:val="Hyperlink"/>
          </w:rPr>
          <w:t>position statement on access to information and communications across the public service</w:t>
        </w:r>
      </w:hyperlink>
      <w:r w:rsidR="00701604" w:rsidRPr="00701604">
        <w:t xml:space="preserve"> for further advice on this matter.</w:t>
      </w:r>
    </w:p>
    <w:p w14:paraId="684C7EE8" w14:textId="2D010E4C" w:rsidR="00701604" w:rsidRPr="00701604" w:rsidRDefault="00A94DCF" w:rsidP="007145F0">
      <w:r>
        <w:rPr>
          <w:noProof/>
          <w:lang w:val="en-AU"/>
        </w:rPr>
        <mc:AlternateContent>
          <mc:Choice Requires="wps">
            <w:drawing>
              <wp:anchor distT="0" distB="0" distL="114300" distR="114300" simplePos="0" relativeHeight="251673600" behindDoc="0" locked="0" layoutInCell="1" allowOverlap="1" wp14:anchorId="1C8E454A" wp14:editId="6F550086">
                <wp:simplePos x="0" y="0"/>
                <wp:positionH relativeFrom="margin">
                  <wp:align>left</wp:align>
                </wp:positionH>
                <wp:positionV relativeFrom="paragraph">
                  <wp:posOffset>115397</wp:posOffset>
                </wp:positionV>
                <wp:extent cx="6057496" cy="20291"/>
                <wp:effectExtent l="19050" t="19050" r="19685" b="37465"/>
                <wp:wrapNone/>
                <wp:docPr id="187540708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A66F1" id="Straight Connector 1" o:spid="_x0000_s1026" alt="&quot;&quot;"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1pt" to="47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" strokecolor="teal" strokeweight="2.5pt">
                <v:stroke linestyle="thinThick" joinstyle="miter"/>
                <w10:wrap anchorx="margin"/>
              </v:line>
            </w:pict>
          </mc:Fallback>
        </mc:AlternateContent>
      </w:r>
    </w:p>
    <w:p w14:paraId="69FEBB9B" w14:textId="2299DEEF" w:rsidR="00A94DCF" w:rsidRDefault="00701604" w:rsidP="00A94DCF">
      <w:pPr>
        <w:spacing w:after="120"/>
        <w:rPr>
          <w:b/>
          <w:bCs/>
        </w:rPr>
      </w:pPr>
      <w:r w:rsidRPr="00701604">
        <w:rPr>
          <w:b/>
          <w:bCs/>
          <w:color w:val="006666"/>
        </w:rPr>
        <w:t>Recommendation 10:</w:t>
      </w:r>
      <w:r w:rsidR="00A94DCF">
        <w:rPr>
          <w:b/>
          <w:bCs/>
        </w:rPr>
        <w:br/>
      </w:r>
      <w:r w:rsidRPr="00701604">
        <w:rPr>
          <w:lang w:val="en-AU"/>
        </w:rPr>
        <w:t>The following guidelines must be followed by any third</w:t>
      </w:r>
      <w:r w:rsidR="00A94DCF">
        <w:rPr>
          <w:lang w:val="en-AU"/>
        </w:rPr>
        <w:t>-</w:t>
      </w:r>
      <w:r w:rsidRPr="00701604">
        <w:rPr>
          <w:lang w:val="en-AU"/>
        </w:rPr>
        <w:t xml:space="preserve">party provider that is undertaking work under a </w:t>
      </w:r>
      <w:r w:rsidR="00A94DCF">
        <w:rPr>
          <w:lang w:val="en-AU"/>
        </w:rPr>
        <w:t>g</w:t>
      </w:r>
      <w:r w:rsidRPr="00701604">
        <w:rPr>
          <w:lang w:val="en-AU"/>
        </w:rPr>
        <w:t>overnment contract:</w:t>
      </w:r>
    </w:p>
    <w:p w14:paraId="6723B1A9" w14:textId="082C8C43" w:rsidR="00A94DCF" w:rsidRPr="00A94DCF" w:rsidRDefault="00701604" w:rsidP="00A94DCF">
      <w:pPr>
        <w:pStyle w:val="ListParagraph"/>
        <w:numPr>
          <w:ilvl w:val="0"/>
          <w:numId w:val="25"/>
        </w:numPr>
        <w:spacing w:before="0" w:after="200"/>
        <w:ind w:left="714" w:hanging="357"/>
        <w:rPr>
          <w:b/>
          <w:bCs/>
        </w:rPr>
      </w:pPr>
      <w:r w:rsidRPr="00701604">
        <w:t>Accessibility requirements must be clearly stated in all requests for tender and contractual agreements with third</w:t>
      </w:r>
      <w:r w:rsidR="00A94DCF">
        <w:t>-</w:t>
      </w:r>
      <w:r w:rsidRPr="00701604">
        <w:t>party providers.</w:t>
      </w:r>
    </w:p>
    <w:p w14:paraId="4EC2E91B" w14:textId="77777777" w:rsidR="00A94DCF" w:rsidRPr="00A94DCF" w:rsidRDefault="00701604" w:rsidP="00A94DCF">
      <w:pPr>
        <w:pStyle w:val="ListParagraph"/>
        <w:numPr>
          <w:ilvl w:val="0"/>
          <w:numId w:val="25"/>
        </w:numPr>
        <w:rPr>
          <w:b/>
          <w:bCs/>
        </w:rPr>
      </w:pPr>
      <w:r w:rsidRPr="00701604">
        <w:t>There must be checks and balances in place to ensure accessibility requirements have been adequately met by third</w:t>
      </w:r>
      <w:r w:rsidR="00A94DCF">
        <w:t>-</w:t>
      </w:r>
      <w:r w:rsidRPr="00701604">
        <w:t>party providers.</w:t>
      </w:r>
    </w:p>
    <w:p w14:paraId="504A9F14" w14:textId="4BC6D6F9" w:rsidR="00701604" w:rsidRPr="00A94DCF" w:rsidRDefault="00701604" w:rsidP="007145F0">
      <w:pPr>
        <w:pStyle w:val="ListParagraph"/>
        <w:numPr>
          <w:ilvl w:val="0"/>
          <w:numId w:val="25"/>
        </w:numPr>
        <w:rPr>
          <w:b/>
          <w:bCs/>
        </w:rPr>
      </w:pPr>
      <w:r w:rsidRPr="00701604">
        <w:t>There must be repercussions for any provider who fails to meet the accessibility requirements specified under a government contract.</w:t>
      </w:r>
    </w:p>
    <w:p w14:paraId="0E9F7AAA" w14:textId="07A3C0BC" w:rsidR="00701604" w:rsidRPr="00C03EE9" w:rsidRDefault="00A94DCF" w:rsidP="007145F0">
      <w:pPr>
        <w:rPr>
          <w:lang w:val="en-AU"/>
        </w:rPr>
      </w:pPr>
      <w:r>
        <w:rPr>
          <w:noProof/>
          <w:lang w:val="en-AU"/>
        </w:rPr>
        <mc:AlternateContent>
          <mc:Choice Requires="wps">
            <w:drawing>
              <wp:anchor distT="0" distB="0" distL="114300" distR="114300" simplePos="0" relativeHeight="251675648" behindDoc="0" locked="0" layoutInCell="1" allowOverlap="1" wp14:anchorId="748C2BDD" wp14:editId="710F3444">
                <wp:simplePos x="0" y="0"/>
                <wp:positionH relativeFrom="margin">
                  <wp:align>left</wp:align>
                </wp:positionH>
                <wp:positionV relativeFrom="paragraph">
                  <wp:posOffset>58824</wp:posOffset>
                </wp:positionV>
                <wp:extent cx="6057496" cy="20291"/>
                <wp:effectExtent l="19050" t="19050" r="19685" b="37465"/>
                <wp:wrapNone/>
                <wp:docPr id="130216264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723E4" id="Straight Connector 1" o:spid="_x0000_s1026" alt="&quot;&quot;"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76.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" strokecolor="teal" strokeweight="2.5pt">
                <v:stroke linestyle="thinThick" joinstyle="miter"/>
                <w10:wrap anchorx="margin"/>
              </v:line>
            </w:pict>
          </mc:Fallback>
        </mc:AlternateContent>
      </w:r>
    </w:p>
    <w:p w14:paraId="5FEE1CC4" w14:textId="77777777" w:rsidR="00C03EE9" w:rsidRPr="00C03EE9" w:rsidRDefault="00C03EE9" w:rsidP="007145F0"/>
    <w:p w14:paraId="627766F8" w14:textId="77777777" w:rsidR="007A3D78" w:rsidRDefault="007A3D78" w:rsidP="007145F0">
      <w:pPr>
        <w:rPr>
          <w:b/>
          <w:bCs/>
          <w:lang w:val="en-AU"/>
        </w:rPr>
      </w:pPr>
    </w:p>
    <w:p w14:paraId="7B47B38F" w14:textId="77777777" w:rsidR="007A3D78" w:rsidRDefault="007A3D78" w:rsidP="007145F0">
      <w:pPr>
        <w:rPr>
          <w:b/>
          <w:bCs/>
          <w:lang w:val="en-AU"/>
        </w:rPr>
      </w:pPr>
    </w:p>
    <w:p w14:paraId="591EF924" w14:textId="77777777" w:rsidR="007A3D78" w:rsidRDefault="007A3D78" w:rsidP="007145F0">
      <w:pPr>
        <w:rPr>
          <w:b/>
          <w:bCs/>
          <w:lang w:val="en-AU"/>
        </w:rPr>
      </w:pPr>
    </w:p>
    <w:p w14:paraId="4416F0F3" w14:textId="77777777" w:rsidR="007A3D78" w:rsidRDefault="007A3D78" w:rsidP="007145F0">
      <w:pPr>
        <w:rPr>
          <w:b/>
          <w:bCs/>
          <w:lang w:val="en-AU"/>
        </w:rPr>
      </w:pPr>
    </w:p>
    <w:p w14:paraId="3FC325C5" w14:textId="77777777" w:rsidR="007A3D78" w:rsidRDefault="007A3D78" w:rsidP="007145F0">
      <w:pPr>
        <w:rPr>
          <w:b/>
          <w:bCs/>
          <w:lang w:val="en-AU"/>
        </w:rPr>
      </w:pPr>
    </w:p>
    <w:p w14:paraId="02B94539" w14:textId="77777777" w:rsidR="007A3D78" w:rsidRDefault="007A3D78" w:rsidP="007145F0">
      <w:pPr>
        <w:rPr>
          <w:b/>
          <w:bCs/>
          <w:lang w:val="en-AU"/>
        </w:rPr>
      </w:pPr>
    </w:p>
    <w:p w14:paraId="7E7EBA38" w14:textId="77777777" w:rsidR="007A3D78" w:rsidRDefault="007A3D78" w:rsidP="007145F0">
      <w:pPr>
        <w:rPr>
          <w:b/>
          <w:bCs/>
          <w:lang w:val="en-AU"/>
        </w:rPr>
      </w:pPr>
    </w:p>
    <w:p w14:paraId="473A9777" w14:textId="77777777" w:rsidR="007A3D78" w:rsidRDefault="007A3D78" w:rsidP="007145F0">
      <w:pPr>
        <w:rPr>
          <w:b/>
          <w:bCs/>
          <w:lang w:val="en-AU"/>
        </w:rPr>
      </w:pPr>
    </w:p>
    <w:p w14:paraId="5C3A343C" w14:textId="77777777" w:rsidR="007A3D78" w:rsidRDefault="007A3D78" w:rsidP="007145F0">
      <w:pPr>
        <w:rPr>
          <w:b/>
          <w:bCs/>
          <w:lang w:val="en-AU"/>
        </w:rPr>
      </w:pPr>
    </w:p>
    <w:p w14:paraId="5E688A22" w14:textId="77777777" w:rsidR="007A3D78" w:rsidRDefault="007A3D78" w:rsidP="00953487">
      <w:pPr>
        <w:rPr>
          <w:b/>
          <w:bCs/>
          <w:lang w:val="en-AU"/>
        </w:rPr>
      </w:pPr>
    </w:p>
    <w:p w14:paraId="638053AA" w14:textId="77777777" w:rsidR="007A3D78" w:rsidRDefault="007A3D78" w:rsidP="00953487">
      <w:pPr>
        <w:rPr>
          <w:b/>
          <w:bCs/>
          <w:lang w:val="en-AU"/>
        </w:rPr>
      </w:pPr>
    </w:p>
    <w:p w14:paraId="7241D310" w14:textId="77777777" w:rsidR="007A3D78" w:rsidRDefault="007A3D78" w:rsidP="00953487">
      <w:pPr>
        <w:rPr>
          <w:b/>
          <w:bCs/>
          <w:lang w:val="en-AU"/>
        </w:rPr>
      </w:pPr>
    </w:p>
    <w:p w14:paraId="76832080" w14:textId="2B59C5E5" w:rsidR="00CC7E80" w:rsidRPr="00AA292B" w:rsidRDefault="00CC7E80" w:rsidP="00CC7E80">
      <w:pPr>
        <w:pStyle w:val="Heading2"/>
        <w:numPr>
          <w:ilvl w:val="0"/>
          <w:numId w:val="5"/>
        </w:numPr>
        <w:rPr>
          <w:rFonts w:cs="Arial"/>
          <w:sz w:val="32"/>
          <w:szCs w:val="32"/>
        </w:rPr>
      </w:pPr>
      <w:bookmarkStart w:id="15" w:name="_Toc168987944"/>
      <w:r w:rsidRPr="00AA292B">
        <w:rPr>
          <w:rFonts w:cs="Arial"/>
          <w:sz w:val="32"/>
          <w:szCs w:val="32"/>
        </w:rPr>
        <w:lastRenderedPageBreak/>
        <w:t>Feedback on commitments included under the Strategy</w:t>
      </w:r>
      <w:bookmarkEnd w:id="15"/>
    </w:p>
    <w:p w14:paraId="3F932D31" w14:textId="528CDACF" w:rsidR="00036E5C" w:rsidRPr="005C6C3C" w:rsidRDefault="00036E5C" w:rsidP="00437327">
      <w:pPr>
        <w:pStyle w:val="Heading3"/>
      </w:pPr>
      <w:bookmarkStart w:id="16" w:name="_Toc168987945"/>
      <w:r w:rsidRPr="005C6C3C">
        <w:t>The need for greater alignment with Australia’s Disability Strategy</w:t>
      </w:r>
      <w:r w:rsidR="00B57BBC">
        <w:t xml:space="preserve"> </w:t>
      </w:r>
      <w:r w:rsidRPr="005C6C3C">
        <w:t>2021-31</w:t>
      </w:r>
      <w:bookmarkEnd w:id="16"/>
    </w:p>
    <w:p w14:paraId="0C398639" w14:textId="77777777" w:rsidR="00036E5C" w:rsidRPr="00AA292B" w:rsidRDefault="00036E5C" w:rsidP="00613A41">
      <w:pPr>
        <w:rPr>
          <w:lang w:val="en-AU"/>
        </w:rPr>
      </w:pPr>
      <w:r w:rsidRPr="00AA292B">
        <w:rPr>
          <w:lang w:val="en-AU"/>
        </w:rPr>
        <w:t>We refer to Recommendation 3 from the Select Committee on Autism as follows:</w:t>
      </w:r>
    </w:p>
    <w:p w14:paraId="247F1418" w14:textId="5275EE20" w:rsidR="00036E5C" w:rsidRPr="00D24F54" w:rsidRDefault="00036E5C" w:rsidP="00613A41">
      <w:pPr>
        <w:ind w:left="425"/>
        <w:rPr>
          <w:rFonts w:eastAsiaTheme="minorHAnsi" w:cstheme="minorBidi"/>
          <w:lang w:val="en-AU"/>
        </w:rPr>
      </w:pPr>
      <w:r w:rsidRPr="00DF5FB4">
        <w:rPr>
          <w:rFonts w:eastAsiaTheme="minorHAnsi" w:cstheme="minorBidi"/>
          <w:i/>
          <w:iCs/>
          <w:lang w:val="en-AU"/>
        </w:rPr>
        <w:t>“The committee recommends that the National Autism Strategy and accompanying implementation plan include an outcomes framework, as well as specific and measurable actions, targets and milestones. Where appropriate, the framework and measurable items should align with those in other national strategies.”</w:t>
      </w:r>
      <w:r w:rsidR="00054CC9">
        <w:rPr>
          <w:rStyle w:val="EndnoteReference"/>
          <w:rFonts w:eastAsiaTheme="minorHAnsi" w:cstheme="minorBidi"/>
          <w:i/>
          <w:iCs/>
          <w:lang w:val="en-AU"/>
        </w:rPr>
        <w:endnoteReference w:id="8"/>
      </w:r>
    </w:p>
    <w:p w14:paraId="3A3294D7" w14:textId="647C575C" w:rsidR="00036E5C" w:rsidRPr="00AA292B" w:rsidRDefault="00036E5C" w:rsidP="00613A41">
      <w:pPr>
        <w:rPr>
          <w:lang w:val="en-AU"/>
        </w:rPr>
      </w:pPr>
      <w:r w:rsidRPr="00AA292B">
        <w:rPr>
          <w:lang w:val="en-AU"/>
        </w:rPr>
        <w:t xml:space="preserve">It is unclear why the Department has not taken steps to align the draft Strategy with the </w:t>
      </w:r>
      <w:r w:rsidR="00D24F54">
        <w:rPr>
          <w:lang w:val="en-AU"/>
        </w:rPr>
        <w:t>O</w:t>
      </w:r>
      <w:r w:rsidRPr="00AA292B">
        <w:rPr>
          <w:lang w:val="en-AU"/>
        </w:rPr>
        <w:t xml:space="preserve">utcome </w:t>
      </w:r>
      <w:r w:rsidR="00D24F54">
        <w:rPr>
          <w:lang w:val="en-AU"/>
        </w:rPr>
        <w:t>A</w:t>
      </w:r>
      <w:r w:rsidRPr="00AA292B">
        <w:rPr>
          <w:lang w:val="en-AU"/>
        </w:rPr>
        <w:t xml:space="preserve">reas and </w:t>
      </w:r>
      <w:r w:rsidR="00D24F54">
        <w:rPr>
          <w:lang w:val="en-AU"/>
        </w:rPr>
        <w:t>P</w:t>
      </w:r>
      <w:r w:rsidRPr="00AA292B">
        <w:rPr>
          <w:lang w:val="en-AU"/>
        </w:rPr>
        <w:t xml:space="preserve">olicy </w:t>
      </w:r>
      <w:r w:rsidR="00D24F54">
        <w:rPr>
          <w:lang w:val="en-AU"/>
        </w:rPr>
        <w:t>Priorities</w:t>
      </w:r>
      <w:r w:rsidRPr="00AA292B">
        <w:rPr>
          <w:lang w:val="en-AU"/>
        </w:rPr>
        <w:t xml:space="preserve"> included underneath Australia’s Disability Strategy</w:t>
      </w:r>
      <w:r w:rsidR="00D24F54">
        <w:rPr>
          <w:lang w:val="en-AU"/>
        </w:rPr>
        <w:t xml:space="preserve"> </w:t>
      </w:r>
      <w:r w:rsidRPr="00AA292B">
        <w:rPr>
          <w:lang w:val="en-AU"/>
        </w:rPr>
        <w:t>2021-31</w:t>
      </w:r>
      <w:r w:rsidR="00223257">
        <w:rPr>
          <w:lang w:val="en-AU"/>
        </w:rPr>
        <w:t xml:space="preserve"> (ADS</w:t>
      </w:r>
      <w:r w:rsidR="00816C77">
        <w:rPr>
          <w:lang w:val="en-AU"/>
        </w:rPr>
        <w:t>)</w:t>
      </w:r>
      <w:r w:rsidR="00BF4A61">
        <w:rPr>
          <w:lang w:val="en-AU"/>
        </w:rPr>
        <w:t xml:space="preserve">, </w:t>
      </w:r>
      <w:r w:rsidRPr="00AA292B">
        <w:rPr>
          <w:lang w:val="en-AU"/>
        </w:rPr>
        <w:t>particularly given Recommendation 3 from the Select Committee was accepted by the Australian Government. In its official response to the recommendations from the Committee’s Inquiry, the Australian Government notes:</w:t>
      </w:r>
    </w:p>
    <w:p w14:paraId="2058535B" w14:textId="603D6A25" w:rsidR="00036E5C" w:rsidRPr="00BF4A61" w:rsidRDefault="00036E5C" w:rsidP="00613A41">
      <w:pPr>
        <w:ind w:left="425"/>
        <w:rPr>
          <w:rFonts w:eastAsiaTheme="minorHAnsi" w:cstheme="minorBidi"/>
          <w:lang w:val="en-AU"/>
        </w:rPr>
      </w:pPr>
      <w:r w:rsidRPr="00DF5FB4">
        <w:rPr>
          <w:rFonts w:eastAsiaTheme="minorHAnsi" w:cstheme="minorBidi"/>
          <w:i/>
          <w:iCs/>
          <w:lang w:val="en-AU"/>
        </w:rPr>
        <w:t>“The Australian Government supports the development of a National Autism Strategy and accompanying implementation plan. It is envisaged this will include an outcomes framework with specific and measurable actions, accountabilities, targets and milestones that will align with other national strategies, including Australia’s Disability Strategy outcomes framework.”</w:t>
      </w:r>
      <w:r w:rsidR="00BF4A61">
        <w:rPr>
          <w:rStyle w:val="EndnoteReference"/>
          <w:rFonts w:eastAsiaTheme="minorHAnsi" w:cstheme="minorBidi"/>
          <w:i/>
          <w:iCs/>
          <w:lang w:val="en-AU"/>
        </w:rPr>
        <w:endnoteReference w:id="9"/>
      </w:r>
    </w:p>
    <w:p w14:paraId="1FC40C40" w14:textId="77777777" w:rsidR="00816C77" w:rsidRDefault="00036E5C" w:rsidP="00613A41">
      <w:pPr>
        <w:spacing w:after="120"/>
        <w:rPr>
          <w:lang w:val="en-AU"/>
        </w:rPr>
      </w:pPr>
      <w:r w:rsidRPr="00AA292B">
        <w:rPr>
          <w:lang w:val="en-AU"/>
        </w:rPr>
        <w:t xml:space="preserve">AFDO would ultimately like to see greater alignment between the National Autism Strategy and the ADS; noting that the ADS is currently in the process of being updated. Unless this commitment is upheld, it will not be possible to accurately track outcomes for Autistic people </w:t>
      </w:r>
      <w:r w:rsidR="00816C77" w:rsidRPr="00AA292B">
        <w:rPr>
          <w:lang w:val="en-AU"/>
        </w:rPr>
        <w:t>against outcomes</w:t>
      </w:r>
      <w:r w:rsidRPr="00AA292B">
        <w:rPr>
          <w:lang w:val="en-AU"/>
        </w:rPr>
        <w:t xml:space="preserve"> for people with disability more generally. </w:t>
      </w:r>
      <w:proofErr w:type="gramStart"/>
      <w:r w:rsidRPr="00AA292B">
        <w:rPr>
          <w:lang w:val="en-AU"/>
        </w:rPr>
        <w:t>In the event that</w:t>
      </w:r>
      <w:proofErr w:type="gramEnd"/>
      <w:r w:rsidRPr="00AA292B">
        <w:rPr>
          <w:lang w:val="en-AU"/>
        </w:rPr>
        <w:t xml:space="preserve"> alignment with the ADS cannot be achieved, it would be helpful for the Department to articulate:</w:t>
      </w:r>
    </w:p>
    <w:p w14:paraId="4CFA230C" w14:textId="331F7314" w:rsidR="00816C77" w:rsidRDefault="00816C77" w:rsidP="00613A41">
      <w:pPr>
        <w:pStyle w:val="ListParagraph"/>
        <w:numPr>
          <w:ilvl w:val="0"/>
          <w:numId w:val="26"/>
        </w:numPr>
        <w:spacing w:before="0" w:after="200"/>
      </w:pPr>
      <w:r w:rsidRPr="00816C77">
        <w:t>I</w:t>
      </w:r>
      <w:r w:rsidR="00036E5C" w:rsidRPr="00816C77">
        <w:t>ts rationale for following a different framework</w:t>
      </w:r>
      <w:r>
        <w:t>.</w:t>
      </w:r>
    </w:p>
    <w:p w14:paraId="00EF2694" w14:textId="6CEB5965" w:rsidR="00036E5C" w:rsidRPr="00816C77" w:rsidRDefault="00036E5C" w:rsidP="00613A41">
      <w:pPr>
        <w:pStyle w:val="ListParagraph"/>
        <w:numPr>
          <w:ilvl w:val="0"/>
          <w:numId w:val="26"/>
        </w:numPr>
        <w:spacing w:before="0" w:after="200"/>
      </w:pPr>
      <w:r w:rsidRPr="00816C77">
        <w:t xml:space="preserve">How the Strategy will integrate with the National Disability Data Asset, </w:t>
      </w:r>
      <w:proofErr w:type="gramStart"/>
      <w:r w:rsidRPr="00816C77">
        <w:t>in light of the fact that</w:t>
      </w:r>
      <w:proofErr w:type="gramEnd"/>
      <w:r w:rsidRPr="00816C77">
        <w:t xml:space="preserve"> the National Autism Strategy includes different outcome areas to the ADS.</w:t>
      </w:r>
    </w:p>
    <w:p w14:paraId="71A7BAA1" w14:textId="7F39DECF" w:rsidR="00036E5C" w:rsidRPr="00AA292B" w:rsidRDefault="00036E5C" w:rsidP="00613A41">
      <w:pPr>
        <w:rPr>
          <w:lang w:val="en-AU"/>
        </w:rPr>
      </w:pPr>
      <w:r w:rsidRPr="00AA292B">
        <w:rPr>
          <w:lang w:val="en-AU"/>
        </w:rPr>
        <w:t xml:space="preserve">We recommend the Department refer to our </w:t>
      </w:r>
      <w:hyperlink r:id="rId24" w:history="1">
        <w:r w:rsidRPr="007B7CEF">
          <w:rPr>
            <w:rStyle w:val="Hyperlink"/>
            <w:lang w:val="en-AU"/>
          </w:rPr>
          <w:t>Communiqu</w:t>
        </w:r>
        <w:r w:rsidR="00D24F54" w:rsidRPr="00D24F54">
          <w:rPr>
            <w:rStyle w:val="Hyperlink"/>
            <w:lang w:val="en-AU"/>
          </w:rPr>
          <w:t>é</w:t>
        </w:r>
        <w:r w:rsidRPr="007B7CEF">
          <w:rPr>
            <w:rStyle w:val="Hyperlink"/>
            <w:lang w:val="en-AU"/>
          </w:rPr>
          <w:t xml:space="preserve"> on Australia’s Disability Strategy 2021-31</w:t>
        </w:r>
      </w:hyperlink>
      <w:r w:rsidRPr="00AA292B">
        <w:rPr>
          <w:lang w:val="en-AU"/>
        </w:rPr>
        <w:t xml:space="preserve"> for further information about the issues we hope will be addressed as part of the current review.</w:t>
      </w:r>
    </w:p>
    <w:p w14:paraId="5E8062B7" w14:textId="35955ACC" w:rsidR="00036E5C" w:rsidRPr="00AA292B" w:rsidRDefault="00613A41" w:rsidP="00613A41">
      <w:pPr>
        <w:rPr>
          <w:lang w:val="en-AU"/>
        </w:rPr>
      </w:pPr>
      <w:r>
        <w:rPr>
          <w:noProof/>
          <w:lang w:val="en-AU"/>
        </w:rPr>
        <mc:AlternateContent>
          <mc:Choice Requires="wps">
            <w:drawing>
              <wp:anchor distT="0" distB="0" distL="114300" distR="114300" simplePos="0" relativeHeight="251677696" behindDoc="0" locked="0" layoutInCell="1" allowOverlap="1" wp14:anchorId="736D9A9C" wp14:editId="64D16481">
                <wp:simplePos x="0" y="0"/>
                <wp:positionH relativeFrom="margin">
                  <wp:posOffset>0</wp:posOffset>
                </wp:positionH>
                <wp:positionV relativeFrom="paragraph">
                  <wp:posOffset>19050</wp:posOffset>
                </wp:positionV>
                <wp:extent cx="6057496" cy="20291"/>
                <wp:effectExtent l="19050" t="19050" r="19685" b="37465"/>
                <wp:wrapNone/>
                <wp:docPr id="142950493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BA0D6" id="Straight Connector 1" o:spid="_x0000_s1026" alt="&quot;&quot;"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6.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" strokecolor="teal" strokeweight="2.5pt">
                <v:stroke linestyle="thinThick" joinstyle="miter"/>
                <w10:wrap anchorx="margin"/>
              </v:line>
            </w:pict>
          </mc:Fallback>
        </mc:AlternateContent>
      </w:r>
      <w:r w:rsidR="00147620">
        <w:rPr>
          <w:lang w:val="en-AU"/>
        </w:rPr>
        <w:br/>
      </w:r>
      <w:r w:rsidR="00036E5C" w:rsidRPr="00147620">
        <w:rPr>
          <w:b/>
          <w:bCs/>
          <w:color w:val="006666"/>
          <w:lang w:val="en-AU"/>
        </w:rPr>
        <w:t>Recommendation 11:</w:t>
      </w:r>
      <w:r w:rsidR="00147620">
        <w:rPr>
          <w:lang w:val="en-AU"/>
        </w:rPr>
        <w:br/>
      </w:r>
      <w:r w:rsidR="00036E5C" w:rsidRPr="00AA292B">
        <w:rPr>
          <w:lang w:val="en-AU"/>
        </w:rPr>
        <w:t>The Department must ensure the final Strategy, implementation plan, outcomes framework and any other related documents align with the outcome areas and policy directives referenced underneath Australia’s Disability Strategy 2021-31.</w:t>
      </w:r>
    </w:p>
    <w:p w14:paraId="7E57E590" w14:textId="3DC90BAB" w:rsidR="00036E5C" w:rsidRPr="00AA292B" w:rsidRDefault="003903C6" w:rsidP="00613A41">
      <w:pPr>
        <w:rPr>
          <w:lang w:val="en-AU"/>
        </w:rPr>
      </w:pPr>
      <w:r>
        <w:rPr>
          <w:noProof/>
          <w:lang w:val="en-AU"/>
        </w:rPr>
        <mc:AlternateContent>
          <mc:Choice Requires="wps">
            <w:drawing>
              <wp:anchor distT="0" distB="0" distL="114300" distR="114300" simplePos="0" relativeHeight="251685888" behindDoc="0" locked="0" layoutInCell="1" allowOverlap="1" wp14:anchorId="5103FDE6" wp14:editId="3E0D4E2D">
                <wp:simplePos x="0" y="0"/>
                <wp:positionH relativeFrom="margin">
                  <wp:align>left</wp:align>
                </wp:positionH>
                <wp:positionV relativeFrom="paragraph">
                  <wp:posOffset>38735</wp:posOffset>
                </wp:positionV>
                <wp:extent cx="6057496" cy="20291"/>
                <wp:effectExtent l="19050" t="19050" r="19685" b="37465"/>
                <wp:wrapNone/>
                <wp:docPr id="151339188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5582D" id="Straight Connector 1" o:spid="_x0000_s1026" alt="&quot;&quot;"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7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" strokecolor="teal" strokeweight="2.5pt">
                <v:stroke linestyle="thinThick" joinstyle="miter"/>
                <w10:wrap anchorx="margin"/>
              </v:line>
            </w:pict>
          </mc:Fallback>
        </mc:AlternateContent>
      </w:r>
    </w:p>
    <w:p w14:paraId="07DF2B9B" w14:textId="3187CF42" w:rsidR="00036E5C" w:rsidRPr="00EA0288" w:rsidRDefault="00036E5C" w:rsidP="00437327">
      <w:pPr>
        <w:pStyle w:val="Heading3"/>
      </w:pPr>
      <w:bookmarkStart w:id="17" w:name="_Toc168987946"/>
      <w:r w:rsidRPr="00EA0288">
        <w:lastRenderedPageBreak/>
        <w:t>Autistic people with complex and high support needs</w:t>
      </w:r>
      <w:bookmarkEnd w:id="17"/>
    </w:p>
    <w:p w14:paraId="73A0FBC6" w14:textId="32D21279" w:rsidR="00B57BBC" w:rsidRDefault="00036E5C" w:rsidP="00613A41">
      <w:pPr>
        <w:rPr>
          <w:rFonts w:cs="Arial"/>
        </w:rPr>
      </w:pPr>
      <w:r w:rsidRPr="00EA0288">
        <w:rPr>
          <w:lang w:val="en-AU"/>
        </w:rPr>
        <w:t xml:space="preserve">All the commitments listed underneath the Strategy speak to attempts to improve outcomes for people with </w:t>
      </w:r>
      <w:r w:rsidR="00EA0288">
        <w:rPr>
          <w:lang w:val="en-AU"/>
        </w:rPr>
        <w:t>a</w:t>
      </w:r>
      <w:r w:rsidRPr="00EA0288">
        <w:rPr>
          <w:lang w:val="en-AU"/>
        </w:rPr>
        <w:t>utism as a collective. There are no measures aimed at improving outcomes for Autistic people with complex and high support needs</w:t>
      </w:r>
      <w:r w:rsidR="00EA0288">
        <w:rPr>
          <w:lang w:val="en-AU"/>
        </w:rPr>
        <w:t>,</w:t>
      </w:r>
      <w:r w:rsidRPr="00EA0288">
        <w:rPr>
          <w:lang w:val="en-AU"/>
        </w:rPr>
        <w:t xml:space="preserve"> </w:t>
      </w:r>
      <w:r w:rsidR="00B57BBC" w:rsidRPr="00EA0288">
        <w:rPr>
          <w:lang w:val="en-AU"/>
        </w:rPr>
        <w:t>even though</w:t>
      </w:r>
      <w:r w:rsidRPr="00EA0288">
        <w:rPr>
          <w:lang w:val="en-AU"/>
        </w:rPr>
        <w:t xml:space="preserve"> the Select Committee on Autism found that </w:t>
      </w:r>
      <w:r w:rsidRPr="00EA0288">
        <w:rPr>
          <w:rFonts w:cs="Arial"/>
        </w:rPr>
        <w:t xml:space="preserve">actions and supports targeted towards all Autistic people often fail to meet the needs of this cohort. </w:t>
      </w:r>
    </w:p>
    <w:p w14:paraId="548E5379" w14:textId="00B3250C" w:rsidR="00036E5C" w:rsidRDefault="00036E5C" w:rsidP="00613A41">
      <w:pPr>
        <w:rPr>
          <w:rFonts w:cs="Arial"/>
          <w:spacing w:val="-1"/>
        </w:rPr>
      </w:pPr>
      <w:r w:rsidRPr="00EA0288">
        <w:rPr>
          <w:rFonts w:cs="Arial"/>
        </w:rPr>
        <w:t xml:space="preserve">The final Strategy must </w:t>
      </w:r>
      <w:r w:rsidRPr="00EA0288">
        <w:rPr>
          <w:rFonts w:cs="Arial"/>
          <w:spacing w:val="-1"/>
        </w:rPr>
        <w:t xml:space="preserve">include separate </w:t>
      </w:r>
      <w:r w:rsidRPr="00EA0288">
        <w:rPr>
          <w:rFonts w:cs="Arial"/>
          <w:b/>
          <w:bCs/>
          <w:spacing w:val="-1"/>
        </w:rPr>
        <w:t xml:space="preserve">commitments and targets for </w:t>
      </w:r>
      <w:r w:rsidRPr="00EA0288">
        <w:rPr>
          <w:rFonts w:cs="Arial"/>
          <w:spacing w:val="-1"/>
        </w:rPr>
        <w:t>Autistic people with complex and high support needs, and more marginali</w:t>
      </w:r>
      <w:r w:rsidR="00EA0288">
        <w:rPr>
          <w:rFonts w:cs="Arial"/>
          <w:spacing w:val="-1"/>
        </w:rPr>
        <w:t>s</w:t>
      </w:r>
      <w:r w:rsidRPr="00EA0288">
        <w:rPr>
          <w:rFonts w:cs="Arial"/>
          <w:spacing w:val="-1"/>
        </w:rPr>
        <w:t>ed intersectional cohorts such as First Nations Autistic people.</w:t>
      </w:r>
    </w:p>
    <w:p w14:paraId="72F11B10" w14:textId="23C89DCA" w:rsidR="00036E5C" w:rsidRPr="00EA0288" w:rsidRDefault="00EA0288" w:rsidP="00EA0288">
      <w:pPr>
        <w:spacing w:after="120"/>
        <w:rPr>
          <w:rFonts w:cs="Arial"/>
          <w:color w:val="006666"/>
          <w:spacing w:val="-1"/>
        </w:rPr>
      </w:pPr>
      <w:r>
        <w:rPr>
          <w:noProof/>
          <w:lang w:val="en-AU"/>
        </w:rPr>
        <mc:AlternateContent>
          <mc:Choice Requires="wps">
            <w:drawing>
              <wp:anchor distT="0" distB="0" distL="114300" distR="114300" simplePos="0" relativeHeight="251687936" behindDoc="0" locked="0" layoutInCell="1" allowOverlap="1" wp14:anchorId="52274B0A" wp14:editId="4876A7C2">
                <wp:simplePos x="0" y="0"/>
                <wp:positionH relativeFrom="margin">
                  <wp:posOffset>0</wp:posOffset>
                </wp:positionH>
                <wp:positionV relativeFrom="paragraph">
                  <wp:posOffset>19050</wp:posOffset>
                </wp:positionV>
                <wp:extent cx="6057496" cy="20291"/>
                <wp:effectExtent l="19050" t="19050" r="19685" b="37465"/>
                <wp:wrapNone/>
                <wp:docPr id="88962143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BA912" id="Straight Connector 1" o:spid="_x0000_s1026" alt="&quot;&quot;"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6.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" strokecolor="teal" strokeweight="2.5pt">
                <v:stroke linestyle="thinThick" joinstyle="miter"/>
                <w10:wrap anchorx="margin"/>
              </v:line>
            </w:pict>
          </mc:Fallback>
        </mc:AlternateContent>
      </w:r>
      <w:r>
        <w:rPr>
          <w:rFonts w:cs="Arial"/>
          <w:spacing w:val="-1"/>
        </w:rPr>
        <w:br/>
      </w:r>
      <w:r w:rsidR="00036E5C" w:rsidRPr="00EA0288">
        <w:rPr>
          <w:b/>
          <w:bCs/>
          <w:color w:val="006666"/>
          <w:lang w:val="en-AU"/>
        </w:rPr>
        <w:t>Recommendation 12:</w:t>
      </w:r>
      <w:r>
        <w:rPr>
          <w:rFonts w:cs="Arial"/>
          <w:color w:val="006666"/>
          <w:spacing w:val="-1"/>
        </w:rPr>
        <w:br/>
      </w:r>
      <w:bookmarkStart w:id="18" w:name="_Hlk169264635"/>
      <w:r w:rsidR="00036E5C" w:rsidRPr="00EA0288">
        <w:rPr>
          <w:lang w:val="en-AU"/>
        </w:rPr>
        <w:t>The final Strategy must:</w:t>
      </w:r>
    </w:p>
    <w:p w14:paraId="0FC1F2EE" w14:textId="0EBFCA9A" w:rsidR="00EA0288" w:rsidRDefault="00036E5C" w:rsidP="00EA0288">
      <w:pPr>
        <w:pStyle w:val="ListBullet"/>
        <w:numPr>
          <w:ilvl w:val="0"/>
          <w:numId w:val="28"/>
        </w:numPr>
        <w:rPr>
          <w:lang w:val="en-AU"/>
        </w:rPr>
      </w:pPr>
      <w:r w:rsidRPr="00EA0288">
        <w:rPr>
          <w:lang w:val="en-AU"/>
        </w:rPr>
        <w:t>Clearly articulate that Autistic people with complex and high support needs experience poorer outcomes across all life domains and may require a range of targeted approaches</w:t>
      </w:r>
      <w:r w:rsidR="00EA0288">
        <w:rPr>
          <w:lang w:val="en-AU"/>
        </w:rPr>
        <w:t>.</w:t>
      </w:r>
    </w:p>
    <w:bookmarkEnd w:id="18"/>
    <w:p w14:paraId="23B26B01" w14:textId="5DD06361" w:rsidR="00EA0288" w:rsidRDefault="00036E5C" w:rsidP="00EA0288">
      <w:pPr>
        <w:pStyle w:val="ListBullet"/>
        <w:numPr>
          <w:ilvl w:val="0"/>
          <w:numId w:val="28"/>
        </w:numPr>
        <w:rPr>
          <w:lang w:val="en-AU"/>
        </w:rPr>
      </w:pPr>
      <w:r w:rsidRPr="00EA0288">
        <w:rPr>
          <w:lang w:val="en-AU"/>
        </w:rPr>
        <w:t xml:space="preserve">Include a definition for the term, </w:t>
      </w:r>
      <w:r w:rsidR="00EA0288">
        <w:rPr>
          <w:lang w:val="en-AU"/>
        </w:rPr>
        <w:t>‘</w:t>
      </w:r>
      <w:r w:rsidRPr="00EA0288">
        <w:rPr>
          <w:lang w:val="en-AU"/>
        </w:rPr>
        <w:t>Autistic people with complex and high support needs</w:t>
      </w:r>
      <w:r w:rsidR="00EA0288">
        <w:rPr>
          <w:lang w:val="en-AU"/>
        </w:rPr>
        <w:t>’</w:t>
      </w:r>
      <w:r w:rsidRPr="00EA0288">
        <w:rPr>
          <w:lang w:val="en-AU"/>
        </w:rPr>
        <w:t>, which has been developed in consultation with Autistic people and their representative organisations</w:t>
      </w:r>
      <w:r w:rsidR="00437327">
        <w:rPr>
          <w:lang w:val="en-AU"/>
        </w:rPr>
        <w:t>.</w:t>
      </w:r>
    </w:p>
    <w:p w14:paraId="10E932FF" w14:textId="4920AA16" w:rsidR="00036E5C" w:rsidRPr="002D5BA4" w:rsidRDefault="002D5BA4" w:rsidP="00613A41">
      <w:pPr>
        <w:pStyle w:val="ListBullet"/>
        <w:numPr>
          <w:ilvl w:val="0"/>
          <w:numId w:val="28"/>
        </w:numPr>
        <w:rPr>
          <w:lang w:val="en-AU"/>
        </w:rPr>
      </w:pPr>
      <w:r>
        <w:rPr>
          <w:noProof/>
          <w:lang w:val="en-AU"/>
        </w:rPr>
        <mc:AlternateContent>
          <mc:Choice Requires="wps">
            <w:drawing>
              <wp:anchor distT="0" distB="0" distL="114300" distR="114300" simplePos="0" relativeHeight="251689984" behindDoc="0" locked="0" layoutInCell="1" allowOverlap="1" wp14:anchorId="4D184853" wp14:editId="5AA3D6E6">
                <wp:simplePos x="0" y="0"/>
                <wp:positionH relativeFrom="margin">
                  <wp:align>left</wp:align>
                </wp:positionH>
                <wp:positionV relativeFrom="paragraph">
                  <wp:posOffset>544888</wp:posOffset>
                </wp:positionV>
                <wp:extent cx="6057496" cy="20291"/>
                <wp:effectExtent l="19050" t="19050" r="19685" b="37465"/>
                <wp:wrapNone/>
                <wp:docPr id="164644867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E5D13" id="Straight Connector 1" o:spid="_x0000_s1026" alt="&quot;&quot;" style="position:absolute;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9pt" to="476.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" strokecolor="teal" strokeweight="2.5pt">
                <v:stroke linestyle="thinThick" joinstyle="miter"/>
                <w10:wrap anchorx="margin"/>
              </v:line>
            </w:pict>
          </mc:Fallback>
        </mc:AlternateContent>
      </w:r>
      <w:r w:rsidR="00036E5C" w:rsidRPr="00EA0288">
        <w:rPr>
          <w:lang w:val="en-AU"/>
        </w:rPr>
        <w:t xml:space="preserve">Include </w:t>
      </w:r>
      <w:r w:rsidR="00036E5C" w:rsidRPr="00EA0288">
        <w:rPr>
          <w:rFonts w:cs="Arial"/>
          <w:b/>
          <w:bCs/>
          <w:spacing w:val="-1"/>
        </w:rPr>
        <w:t xml:space="preserve">targeted actions </w:t>
      </w:r>
      <w:r w:rsidR="00B57BBC" w:rsidRPr="00B57BBC">
        <w:rPr>
          <w:rFonts w:cs="Arial"/>
          <w:spacing w:val="-1"/>
        </w:rPr>
        <w:t>commitment</w:t>
      </w:r>
      <w:r w:rsidR="00B57BBC">
        <w:rPr>
          <w:rFonts w:cs="Arial"/>
          <w:b/>
          <w:bCs/>
          <w:spacing w:val="-1"/>
        </w:rPr>
        <w:t xml:space="preserve"> </w:t>
      </w:r>
      <w:r w:rsidR="00036E5C" w:rsidRPr="00EA0288">
        <w:rPr>
          <w:rFonts w:cs="Arial"/>
          <w:spacing w:val="-1"/>
        </w:rPr>
        <w:t>for Autistic people with complex and high support needs.</w:t>
      </w:r>
      <w:r>
        <w:rPr>
          <w:rFonts w:cs="Arial"/>
          <w:spacing w:val="-1"/>
        </w:rPr>
        <w:br/>
      </w:r>
    </w:p>
    <w:p w14:paraId="4B0C25AC" w14:textId="1C8271C2" w:rsidR="00036E5C" w:rsidRPr="00437327" w:rsidRDefault="00036E5C" w:rsidP="002D5BA4">
      <w:pPr>
        <w:pStyle w:val="Heading3"/>
        <w:ind w:left="0" w:firstLine="0"/>
      </w:pPr>
      <w:bookmarkStart w:id="19" w:name="_Toc168987947"/>
      <w:r w:rsidRPr="00437327">
        <w:t>Older Autistic people</w:t>
      </w:r>
      <w:bookmarkEnd w:id="19"/>
    </w:p>
    <w:p w14:paraId="4C7218D0" w14:textId="77777777" w:rsidR="00437327" w:rsidRDefault="00036E5C" w:rsidP="00437327">
      <w:pPr>
        <w:pStyle w:val="ListBullet"/>
        <w:numPr>
          <w:ilvl w:val="0"/>
          <w:numId w:val="0"/>
        </w:numPr>
        <w:spacing w:after="300"/>
        <w:rPr>
          <w:lang w:val="en-AU"/>
        </w:rPr>
      </w:pPr>
      <w:r w:rsidRPr="00EA0288">
        <w:rPr>
          <w:lang w:val="en-AU"/>
        </w:rPr>
        <w:t>The needs of older Autistic people and the intersection between disability and ageing are completely absent from the draft Strategy. This is a significant oversight when considering that:</w:t>
      </w:r>
    </w:p>
    <w:p w14:paraId="5BA5350B" w14:textId="77777777" w:rsidR="00437327" w:rsidRDefault="00036E5C" w:rsidP="00437327">
      <w:pPr>
        <w:pStyle w:val="ListBullet"/>
        <w:numPr>
          <w:ilvl w:val="0"/>
          <w:numId w:val="28"/>
        </w:numPr>
        <w:rPr>
          <w:lang w:val="en-AU"/>
        </w:rPr>
      </w:pPr>
      <w:r w:rsidRPr="00EA0288">
        <w:t>Australia’s population is rapidly ageing.</w:t>
      </w:r>
      <w:r w:rsidRPr="00EA0288">
        <w:rPr>
          <w:rStyle w:val="EndnoteReference"/>
        </w:rPr>
        <w:endnoteReference w:id="10"/>
      </w:r>
    </w:p>
    <w:p w14:paraId="248301DE" w14:textId="4AE55972" w:rsidR="00437327" w:rsidRPr="00437327" w:rsidRDefault="008A13FE" w:rsidP="00437327">
      <w:pPr>
        <w:pStyle w:val="ListBullet"/>
        <w:numPr>
          <w:ilvl w:val="0"/>
          <w:numId w:val="28"/>
        </w:numPr>
        <w:rPr>
          <w:lang w:val="en-AU"/>
        </w:rPr>
      </w:pPr>
      <w:hyperlink r:id="rId25" w:history="1">
        <w:r w:rsidR="00036E5C" w:rsidRPr="00437327">
          <w:rPr>
            <w:rStyle w:val="Hyperlink"/>
            <w:rFonts w:cs="Arial"/>
            <w:bCs/>
            <w:color w:val="auto"/>
            <w:lang w:val="en-AU"/>
          </w:rPr>
          <w:t>Section 22</w:t>
        </w:r>
      </w:hyperlink>
      <w:r w:rsidR="00036E5C" w:rsidRPr="00437327">
        <w:rPr>
          <w:rFonts w:cs="Arial"/>
          <w:bCs/>
          <w:lang w:val="en-AU"/>
        </w:rPr>
        <w:t xml:space="preserve"> of the </w:t>
      </w:r>
      <w:r w:rsidR="00036E5C" w:rsidRPr="00437327">
        <w:rPr>
          <w:rFonts w:cs="Arial"/>
          <w:bCs/>
          <w:i/>
          <w:iCs/>
          <w:lang w:val="en-AU"/>
        </w:rPr>
        <w:t>National Disability Insurance Scheme Act 2013 (Cth)</w:t>
      </w:r>
      <w:r w:rsidR="00036E5C" w:rsidRPr="00437327">
        <w:rPr>
          <w:rFonts w:cs="Arial"/>
          <w:bCs/>
          <w:lang w:val="en-AU"/>
        </w:rPr>
        <w:t xml:space="preserve"> states that an individual must be under age 65 at the time of making an access request for the Scheme to be eligible.</w:t>
      </w:r>
      <w:r w:rsidR="00036E5C" w:rsidRPr="00EA0288">
        <w:rPr>
          <w:rStyle w:val="EndnoteReference"/>
          <w:rFonts w:cs="Arial"/>
          <w:bCs/>
          <w:lang w:val="en-AU"/>
        </w:rPr>
        <w:endnoteReference w:id="11"/>
      </w:r>
      <w:r w:rsidR="00036E5C" w:rsidRPr="00437327">
        <w:rPr>
          <w:rFonts w:cs="Arial"/>
          <w:bCs/>
          <w:lang w:val="en-AU"/>
        </w:rPr>
        <w:t xml:space="preserve"> Those who entered the Scheme prior to their 65th birthday </w:t>
      </w:r>
      <w:proofErr w:type="gramStart"/>
      <w:r w:rsidR="00036E5C" w:rsidRPr="00437327">
        <w:rPr>
          <w:rFonts w:cs="Arial"/>
          <w:bCs/>
          <w:lang w:val="en-AU"/>
        </w:rPr>
        <w:t>are</w:t>
      </w:r>
      <w:proofErr w:type="gramEnd"/>
      <w:r w:rsidR="00036E5C" w:rsidRPr="00437327">
        <w:rPr>
          <w:rFonts w:cs="Arial"/>
          <w:bCs/>
          <w:lang w:val="en-AU"/>
        </w:rPr>
        <w:t xml:space="preserve"> able to remain in the Scheme as they age. People with disability who were already 65 when the NDIS became available in their area and those who acquire a disability after their 65th birthday are excluded from the NDIS. These people are required to access their support from the aged care system instead.</w:t>
      </w:r>
      <w:r w:rsidR="00036E5C" w:rsidRPr="00EA0288">
        <w:rPr>
          <w:rFonts w:cs="Arial"/>
          <w:bCs/>
          <w:vertAlign w:val="superscript"/>
          <w:lang w:val="en-AU"/>
        </w:rPr>
        <w:endnoteReference w:id="12"/>
      </w:r>
      <w:r w:rsidR="00036E5C" w:rsidRPr="00437327">
        <w:rPr>
          <w:rFonts w:cs="Arial"/>
          <w:bCs/>
          <w:vertAlign w:val="superscript"/>
          <w:lang w:val="en-AU"/>
        </w:rPr>
        <w:t xml:space="preserve"> </w:t>
      </w:r>
    </w:p>
    <w:p w14:paraId="380A48C4" w14:textId="77777777" w:rsidR="00065B48" w:rsidRDefault="00036E5C" w:rsidP="00065B48">
      <w:pPr>
        <w:pStyle w:val="ListBullet"/>
        <w:numPr>
          <w:ilvl w:val="0"/>
          <w:numId w:val="30"/>
        </w:numPr>
        <w:spacing w:before="200"/>
        <w:ind w:left="714" w:hanging="357"/>
      </w:pPr>
      <w:r w:rsidRPr="00437327">
        <w:rPr>
          <w:lang w:val="en-AU"/>
        </w:rPr>
        <w:t>The reform of Australia’s aged care system is well under way subject to the recommendations arising out of the Royal Commission into Aged Care Quality and Safety. These reforms will have a significant impact upon older Autistic people into the future.</w:t>
      </w:r>
    </w:p>
    <w:p w14:paraId="03FD1947" w14:textId="47ABC490" w:rsidR="00036E5C" w:rsidRPr="00065B48" w:rsidRDefault="00036E5C" w:rsidP="00065B48">
      <w:pPr>
        <w:pStyle w:val="ListBullet"/>
        <w:numPr>
          <w:ilvl w:val="0"/>
          <w:numId w:val="30"/>
        </w:numPr>
        <w:spacing w:before="200"/>
        <w:ind w:left="714" w:hanging="357"/>
      </w:pPr>
      <w:r w:rsidRPr="00065B48">
        <w:rPr>
          <w:rStyle w:val="Hyperlink"/>
          <w:rFonts w:cs="Arial"/>
          <w:bCs/>
          <w:color w:val="auto"/>
          <w:u w:val="none"/>
          <w:lang w:val="en-AU"/>
        </w:rPr>
        <w:t xml:space="preserve">Some people with disability may be required to access aged care services earlier than the general population. </w:t>
      </w:r>
      <w:r w:rsidRPr="00065B48">
        <w:rPr>
          <w:rFonts w:cs="Arial"/>
          <w:lang w:val="en-AU" w:eastAsia="zh-CN"/>
        </w:rPr>
        <w:t xml:space="preserve">For example, </w:t>
      </w:r>
      <w:r w:rsidR="009E3FC6">
        <w:rPr>
          <w:rFonts w:cs="Arial"/>
          <w:lang w:val="en-AU" w:eastAsia="zh-CN"/>
        </w:rPr>
        <w:t>p</w:t>
      </w:r>
      <w:r w:rsidRPr="00065B48">
        <w:rPr>
          <w:rFonts w:cs="Arial"/>
          <w:lang w:val="en-AU" w:eastAsia="zh-CN"/>
        </w:rPr>
        <w:t>eople with Down Syndrome and acquired brain injury typically</w:t>
      </w:r>
      <w:r w:rsidRPr="00065B48">
        <w:rPr>
          <w:rFonts w:cs="Arial"/>
          <w:lang w:val="en-AU"/>
        </w:rPr>
        <w:t xml:space="preserve"> experience higher rates of dementia, including early onset dementia, than the general population.</w:t>
      </w:r>
      <w:r w:rsidRPr="00EA0288">
        <w:rPr>
          <w:rStyle w:val="EndnoteReference"/>
          <w:rFonts w:cs="Arial"/>
          <w:lang w:val="en-AU"/>
        </w:rPr>
        <w:endnoteReference w:id="13"/>
      </w:r>
      <w:r w:rsidRPr="00065B48">
        <w:rPr>
          <w:rFonts w:cs="Arial"/>
          <w:lang w:val="en-AU"/>
        </w:rPr>
        <w:t xml:space="preserve"> In fact, </w:t>
      </w:r>
      <w:r w:rsidRPr="00065B48">
        <w:rPr>
          <w:rFonts w:cs="Arial"/>
          <w:shd w:val="clear" w:color="auto" w:fill="FFFFFF"/>
          <w:lang w:val="en-AU"/>
        </w:rPr>
        <w:t xml:space="preserve">50 per cent of people </w:t>
      </w:r>
      <w:r w:rsidRPr="00065B48">
        <w:rPr>
          <w:rFonts w:cs="Arial"/>
          <w:shd w:val="clear" w:color="auto" w:fill="FFFFFF"/>
          <w:lang w:val="en-AU"/>
        </w:rPr>
        <w:lastRenderedPageBreak/>
        <w:t xml:space="preserve">with Down Syndrome develop </w:t>
      </w:r>
      <w:r w:rsidRPr="00065B48">
        <w:rPr>
          <w:rFonts w:cs="Arial"/>
          <w:lang w:val="en-AU"/>
        </w:rPr>
        <w:t>Alzheimer’s disease by the age of 60.</w:t>
      </w:r>
      <w:r w:rsidRPr="00EA0288">
        <w:rPr>
          <w:rStyle w:val="EndnoteReference"/>
          <w:rFonts w:cs="Arial"/>
          <w:lang w:val="en-AU"/>
        </w:rPr>
        <w:endnoteReference w:id="14"/>
      </w:r>
      <w:r w:rsidRPr="00065B48">
        <w:rPr>
          <w:rFonts w:cs="Arial"/>
          <w:lang w:val="en-AU"/>
        </w:rPr>
        <w:t xml:space="preserve"> People with disability may also experience ageing differently due to having a shorter life expectancy. According to the Australian Institute of Health and Welfare (AIHW), people who use disability services are more than four times more likely than the general population to die before reaching their 65</w:t>
      </w:r>
      <w:r w:rsidRPr="00065B48">
        <w:rPr>
          <w:rFonts w:cs="Arial"/>
          <w:vertAlign w:val="superscript"/>
          <w:lang w:val="en-AU"/>
        </w:rPr>
        <w:t>th</w:t>
      </w:r>
      <w:r w:rsidRPr="00065B48">
        <w:rPr>
          <w:rFonts w:cs="Arial"/>
          <w:lang w:val="en-AU"/>
        </w:rPr>
        <w:t xml:space="preserve"> birthday.</w:t>
      </w:r>
      <w:r w:rsidRPr="00EA0288">
        <w:rPr>
          <w:rStyle w:val="EndnoteReference"/>
          <w:rFonts w:cs="Arial"/>
          <w:lang w:val="en-AU"/>
        </w:rPr>
        <w:endnoteReference w:id="15"/>
      </w:r>
      <w:r w:rsidRPr="00065B48">
        <w:rPr>
          <w:rFonts w:cs="Arial"/>
          <w:lang w:val="en-AU"/>
        </w:rPr>
        <w:t xml:space="preserve"> </w:t>
      </w:r>
    </w:p>
    <w:p w14:paraId="1FBF5BB6" w14:textId="77777777" w:rsidR="00036E5C" w:rsidRPr="00EA0288" w:rsidRDefault="00036E5C" w:rsidP="00437327">
      <w:pPr>
        <w:pStyle w:val="ListBullet"/>
        <w:numPr>
          <w:ilvl w:val="0"/>
          <w:numId w:val="0"/>
        </w:numPr>
        <w:ind w:left="360"/>
        <w:rPr>
          <w:rStyle w:val="Hyperlink"/>
          <w:rFonts w:cs="Arial"/>
          <w:bCs/>
          <w:color w:val="auto"/>
          <w:lang w:val="en-AU"/>
        </w:rPr>
      </w:pPr>
    </w:p>
    <w:p w14:paraId="40514D3B" w14:textId="77777777" w:rsidR="009E3FC6" w:rsidRDefault="00036E5C" w:rsidP="002D5BA4">
      <w:pPr>
        <w:pStyle w:val="ListBullet"/>
        <w:numPr>
          <w:ilvl w:val="0"/>
          <w:numId w:val="0"/>
        </w:numPr>
        <w:rPr>
          <w:lang w:val="en-AU"/>
        </w:rPr>
      </w:pPr>
      <w:r w:rsidRPr="00EA0288">
        <w:rPr>
          <w:lang w:val="en-AU"/>
        </w:rPr>
        <w:t xml:space="preserve">We recommend the Department refer to our </w:t>
      </w:r>
      <w:hyperlink r:id="rId26" w:history="1">
        <w:r w:rsidRPr="00EA0288">
          <w:rPr>
            <w:rStyle w:val="Hyperlink"/>
            <w:color w:val="auto"/>
            <w:lang w:val="en-AU"/>
          </w:rPr>
          <w:t>briefing paper on equitable access to disability services and supports for older people</w:t>
        </w:r>
      </w:hyperlink>
      <w:r w:rsidRPr="00EA0288">
        <w:rPr>
          <w:lang w:val="en-AU"/>
        </w:rPr>
        <w:t xml:space="preserve"> to gain a deeper understanding of the policy gaps preventing older people with disability from accessing the services and supports they need. The intersection between disability and ageing cannot simply be ignored in the final strategy. When looking at the recommendations arising out of the Independent Review of the NDIS alone, there are several issues that relate to the arbitrary age 65 cut-off of 65. For example:</w:t>
      </w:r>
    </w:p>
    <w:p w14:paraId="1DB2A0C4" w14:textId="77777777" w:rsidR="009E3FC6" w:rsidRDefault="00036E5C" w:rsidP="002D5BA4">
      <w:pPr>
        <w:pStyle w:val="ListBullet"/>
        <w:numPr>
          <w:ilvl w:val="0"/>
          <w:numId w:val="32"/>
        </w:numPr>
        <w:ind w:left="714" w:hanging="357"/>
        <w:rPr>
          <w:lang w:val="en-AU"/>
        </w:rPr>
      </w:pPr>
      <w:r w:rsidRPr="00EA0288">
        <w:rPr>
          <w:lang w:val="en-AU"/>
        </w:rPr>
        <w:t>The new Navigator role outlined underneath Recommendation 4 is proposed to be restricted to people with disability under 65. It is imperative that equivalent navigation services are available to Autistic people with disability over 65 to ensure equality of opportunity. The Care Finder services that exist in the aged care system are designed around principles of frailty and ageing and are ill-equipped to meet the specialist needs of Autistic people – particularly those with complex and high support needs.</w:t>
      </w:r>
    </w:p>
    <w:p w14:paraId="217E0423" w14:textId="0F6E8360" w:rsidR="00036E5C" w:rsidRDefault="00036E5C" w:rsidP="002D5BA4">
      <w:pPr>
        <w:pStyle w:val="ListBullet"/>
        <w:numPr>
          <w:ilvl w:val="0"/>
          <w:numId w:val="32"/>
        </w:numPr>
        <w:ind w:left="714" w:hanging="357"/>
        <w:rPr>
          <w:lang w:val="en-AU"/>
        </w:rPr>
      </w:pPr>
      <w:r w:rsidRPr="009E3FC6">
        <w:rPr>
          <w:lang w:val="en-AU"/>
        </w:rPr>
        <w:t xml:space="preserve">The Review Panel has stated that people with disability aged 65 and over will most likely access </w:t>
      </w:r>
      <w:proofErr w:type="gramStart"/>
      <w:r w:rsidRPr="009E3FC6">
        <w:rPr>
          <w:lang w:val="en-AU"/>
        </w:rPr>
        <w:t>the majority of</w:t>
      </w:r>
      <w:proofErr w:type="gramEnd"/>
      <w:r w:rsidRPr="009E3FC6">
        <w:rPr>
          <w:lang w:val="en-AU"/>
        </w:rPr>
        <w:t xml:space="preserve"> their supports from the aged care system. They have, however, also recommended that NDIS participants over the age of 65 be able to concurrently access supports from both the NDIS and the aged care system. It is imperative that the Commonwealth and State and Territory Governments determine who is responsible for providing mental health-related services and supports to Autistic people over the age of 65.</w:t>
      </w:r>
      <w:r w:rsidRPr="00EA0288">
        <w:rPr>
          <w:rStyle w:val="EndnoteReference"/>
          <w:lang w:val="en-AU"/>
        </w:rPr>
        <w:endnoteReference w:id="16"/>
      </w:r>
      <w:r w:rsidRPr="009E3FC6">
        <w:rPr>
          <w:lang w:val="en-AU"/>
        </w:rPr>
        <w:t xml:space="preserve"> </w:t>
      </w:r>
    </w:p>
    <w:p w14:paraId="4A46EF1F" w14:textId="77777777" w:rsidR="002D5BA4" w:rsidRDefault="002D5BA4" w:rsidP="002D5BA4">
      <w:pPr>
        <w:pStyle w:val="ListBullet"/>
        <w:numPr>
          <w:ilvl w:val="0"/>
          <w:numId w:val="0"/>
        </w:numPr>
        <w:ind w:left="360" w:hanging="360"/>
        <w:rPr>
          <w:lang w:val="en-AU"/>
        </w:rPr>
      </w:pPr>
    </w:p>
    <w:p w14:paraId="1A5D1462" w14:textId="7FE3AEF1" w:rsidR="002D5BA4" w:rsidRPr="009E3FC6" w:rsidRDefault="002D5BA4" w:rsidP="002D5BA4">
      <w:pPr>
        <w:pStyle w:val="ListBullet"/>
        <w:numPr>
          <w:ilvl w:val="0"/>
          <w:numId w:val="0"/>
        </w:numPr>
        <w:ind w:left="360" w:hanging="360"/>
        <w:rPr>
          <w:lang w:val="en-AU"/>
        </w:rPr>
      </w:pPr>
      <w:r>
        <w:rPr>
          <w:noProof/>
          <w:lang w:val="en-AU"/>
        </w:rPr>
        <mc:AlternateContent>
          <mc:Choice Requires="wps">
            <w:drawing>
              <wp:anchor distT="0" distB="0" distL="114300" distR="114300" simplePos="0" relativeHeight="251692032" behindDoc="0" locked="0" layoutInCell="1" allowOverlap="1" wp14:anchorId="5CBB4E5B" wp14:editId="18B9EE2D">
                <wp:simplePos x="0" y="0"/>
                <wp:positionH relativeFrom="margin">
                  <wp:posOffset>0</wp:posOffset>
                </wp:positionH>
                <wp:positionV relativeFrom="paragraph">
                  <wp:posOffset>19050</wp:posOffset>
                </wp:positionV>
                <wp:extent cx="6057496" cy="20291"/>
                <wp:effectExtent l="19050" t="19050" r="19685" b="37465"/>
                <wp:wrapNone/>
                <wp:docPr id="185166609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BE374" id="Straight Connector 1" o:spid="_x0000_s1026" alt="&quot;&quot;"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6.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" strokecolor="teal" strokeweight="2.5pt">
                <v:stroke linestyle="thinThick" joinstyle="miter"/>
                <w10:wrap anchorx="margin"/>
              </v:line>
            </w:pict>
          </mc:Fallback>
        </mc:AlternateContent>
      </w:r>
    </w:p>
    <w:p w14:paraId="70B41A8F" w14:textId="77777777" w:rsidR="00036E5C" w:rsidRPr="002D5BA4" w:rsidRDefault="00036E5C" w:rsidP="002D5BA4">
      <w:pPr>
        <w:pStyle w:val="ListBullet"/>
        <w:numPr>
          <w:ilvl w:val="0"/>
          <w:numId w:val="0"/>
        </w:numPr>
        <w:rPr>
          <w:b/>
          <w:bCs/>
          <w:color w:val="006666"/>
          <w:lang w:val="en-AU"/>
        </w:rPr>
      </w:pPr>
      <w:r w:rsidRPr="002D5BA4">
        <w:rPr>
          <w:b/>
          <w:bCs/>
          <w:color w:val="006666"/>
          <w:lang w:val="en-AU"/>
        </w:rPr>
        <w:t>Recommendation 13:</w:t>
      </w:r>
    </w:p>
    <w:p w14:paraId="5966380E" w14:textId="77777777" w:rsidR="002D5BA4" w:rsidRDefault="00036E5C" w:rsidP="002D5BA4">
      <w:pPr>
        <w:pStyle w:val="ListBullet"/>
        <w:numPr>
          <w:ilvl w:val="0"/>
          <w:numId w:val="0"/>
        </w:numPr>
        <w:rPr>
          <w:lang w:val="en-AU"/>
        </w:rPr>
      </w:pPr>
      <w:r w:rsidRPr="00AA292B">
        <w:rPr>
          <w:lang w:val="en-AU"/>
        </w:rPr>
        <w:t>The final Strategy must adequately capture the needs of older Autistic people. To facilitate this, the Department must:</w:t>
      </w:r>
    </w:p>
    <w:p w14:paraId="1A6F63C3" w14:textId="77777777" w:rsidR="002D5BA4" w:rsidRDefault="002D5BA4" w:rsidP="002D5BA4">
      <w:pPr>
        <w:pStyle w:val="ListBullet"/>
        <w:numPr>
          <w:ilvl w:val="0"/>
          <w:numId w:val="33"/>
        </w:numPr>
        <w:rPr>
          <w:lang w:val="en-AU"/>
        </w:rPr>
      </w:pPr>
      <w:r>
        <w:rPr>
          <w:lang w:val="en-AU"/>
        </w:rPr>
        <w:t>R</w:t>
      </w:r>
      <w:r w:rsidR="00036E5C" w:rsidRPr="00AA292B">
        <w:rPr>
          <w:lang w:val="en-AU"/>
        </w:rPr>
        <w:t>efer to AFDO’s Briefing Paper on Equitable Access to Disability Services and Supports for Older People.</w:t>
      </w:r>
    </w:p>
    <w:p w14:paraId="327C2A97" w14:textId="77777777" w:rsidR="002D5BA4" w:rsidRDefault="00036E5C" w:rsidP="002D5BA4">
      <w:pPr>
        <w:pStyle w:val="ListBullet"/>
        <w:numPr>
          <w:ilvl w:val="0"/>
          <w:numId w:val="33"/>
        </w:numPr>
        <w:rPr>
          <w:lang w:val="en-AU"/>
        </w:rPr>
      </w:pPr>
      <w:r w:rsidRPr="002D5BA4">
        <w:rPr>
          <w:lang w:val="en-AU"/>
        </w:rPr>
        <w:t>Ensure the final Strategy adequately captures the policy context affecting the provision of services and supports to older Autistic people.</w:t>
      </w:r>
    </w:p>
    <w:p w14:paraId="2752333C" w14:textId="77777777" w:rsidR="00E839BF" w:rsidRDefault="00036E5C" w:rsidP="00E839BF">
      <w:pPr>
        <w:pStyle w:val="ListBullet"/>
        <w:numPr>
          <w:ilvl w:val="0"/>
          <w:numId w:val="33"/>
        </w:numPr>
        <w:rPr>
          <w:lang w:val="en-AU"/>
        </w:rPr>
      </w:pPr>
      <w:r w:rsidRPr="002D5BA4">
        <w:rPr>
          <w:lang w:val="en-AU"/>
        </w:rPr>
        <w:t>Ensure the final Strategy adequately captures the fact that some Autistic Australians</w:t>
      </w:r>
      <w:proofErr w:type="gramStart"/>
      <w:r w:rsidRPr="002D5BA4">
        <w:rPr>
          <w:lang w:val="en-AU"/>
        </w:rPr>
        <w:t xml:space="preserve"> and in particular,</w:t>
      </w:r>
      <w:proofErr w:type="gramEnd"/>
      <w:r w:rsidRPr="002D5BA4">
        <w:rPr>
          <w:lang w:val="en-AU"/>
        </w:rPr>
        <w:t xml:space="preserve"> those with comorbidities, may need to access aged care services prior to age 65.</w:t>
      </w:r>
    </w:p>
    <w:p w14:paraId="647D835A" w14:textId="7B69DD0D" w:rsidR="00036E5C" w:rsidRPr="00E839BF" w:rsidRDefault="00036E5C" w:rsidP="00E839BF">
      <w:pPr>
        <w:pStyle w:val="ListBullet"/>
        <w:numPr>
          <w:ilvl w:val="0"/>
          <w:numId w:val="33"/>
        </w:numPr>
        <w:rPr>
          <w:lang w:val="en-AU"/>
        </w:rPr>
      </w:pPr>
      <w:r w:rsidRPr="00E839BF">
        <w:rPr>
          <w:lang w:val="en-AU"/>
        </w:rPr>
        <w:t>Ensure the final Strategy, Implementation Plan and Outcomes Framework allow for the comparison of outcomes between older and younger Autistic people.</w:t>
      </w:r>
    </w:p>
    <w:p w14:paraId="3E24EF7C" w14:textId="5A400828" w:rsidR="00036E5C" w:rsidRPr="00AA292B" w:rsidRDefault="00E839BF" w:rsidP="00036E5C">
      <w:pPr>
        <w:rPr>
          <w:lang w:val="en-AU"/>
        </w:rPr>
      </w:pPr>
      <w:r>
        <w:rPr>
          <w:noProof/>
          <w:lang w:val="en-AU"/>
        </w:rPr>
        <mc:AlternateContent>
          <mc:Choice Requires="wps">
            <w:drawing>
              <wp:anchor distT="0" distB="0" distL="114300" distR="114300" simplePos="0" relativeHeight="251694080" behindDoc="0" locked="0" layoutInCell="1" allowOverlap="1" wp14:anchorId="6585D8A5" wp14:editId="5AD52448">
                <wp:simplePos x="0" y="0"/>
                <wp:positionH relativeFrom="margin">
                  <wp:posOffset>0</wp:posOffset>
                </wp:positionH>
                <wp:positionV relativeFrom="paragraph">
                  <wp:posOffset>18415</wp:posOffset>
                </wp:positionV>
                <wp:extent cx="6057496" cy="20291"/>
                <wp:effectExtent l="19050" t="19050" r="19685" b="37465"/>
                <wp:wrapNone/>
                <wp:docPr id="9485357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496" cy="20291"/>
                        </a:xfrm>
                        <a:prstGeom prst="line">
                          <a:avLst/>
                        </a:prstGeom>
                        <a:ln w="31750" cmpd="thinThick">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8F885" id="Straight Connector 1" o:spid="_x0000_s1026" alt="&quot;&quot;"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76.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" strokecolor="teal" strokeweight="2.5pt">
                <v:stroke linestyle="thinThick" joinstyle="miter"/>
                <w10:wrap anchorx="margin"/>
              </v:line>
            </w:pict>
          </mc:Fallback>
        </mc:AlternateContent>
      </w:r>
    </w:p>
    <w:p w14:paraId="597BDCAA" w14:textId="77777777" w:rsidR="007A3D78" w:rsidRDefault="007A3D78" w:rsidP="00953487">
      <w:pPr>
        <w:rPr>
          <w:b/>
          <w:bCs/>
          <w:lang w:val="en-AU"/>
        </w:rPr>
      </w:pPr>
    </w:p>
    <w:p w14:paraId="4BC1E2E4" w14:textId="693FF85D" w:rsidR="00AB48ED" w:rsidRPr="00AA292B" w:rsidRDefault="00AB48ED" w:rsidP="00AB48ED">
      <w:pPr>
        <w:pStyle w:val="Heading2"/>
        <w:numPr>
          <w:ilvl w:val="0"/>
          <w:numId w:val="5"/>
        </w:numPr>
        <w:rPr>
          <w:rFonts w:cs="Arial"/>
          <w:sz w:val="32"/>
          <w:szCs w:val="32"/>
        </w:rPr>
      </w:pPr>
      <w:bookmarkStart w:id="20" w:name="_Toc168987948"/>
      <w:r w:rsidRPr="00AA292B">
        <w:rPr>
          <w:rFonts w:cs="Arial"/>
          <w:sz w:val="32"/>
          <w:szCs w:val="32"/>
        </w:rPr>
        <w:lastRenderedPageBreak/>
        <w:t>Concluding comments</w:t>
      </w:r>
      <w:bookmarkEnd w:id="20"/>
    </w:p>
    <w:p w14:paraId="565D69CB" w14:textId="77777777" w:rsidR="00B57BBC" w:rsidRDefault="00AB48ED" w:rsidP="00AB48ED">
      <w:pPr>
        <w:rPr>
          <w:lang w:val="en-AU"/>
        </w:rPr>
      </w:pPr>
      <w:r w:rsidRPr="00AA292B">
        <w:rPr>
          <w:lang w:val="en-AU"/>
        </w:rPr>
        <w:t xml:space="preserve">We thank the </w:t>
      </w:r>
      <w:r>
        <w:rPr>
          <w:lang w:val="en-AU"/>
        </w:rPr>
        <w:t>Department</w:t>
      </w:r>
      <w:r w:rsidRPr="00AA292B">
        <w:rPr>
          <w:lang w:val="en-AU"/>
        </w:rPr>
        <w:t xml:space="preserve"> once again for providing AFDO with an opportunity to represent the concerns of its </w:t>
      </w:r>
      <w:r>
        <w:rPr>
          <w:lang w:val="en-AU"/>
        </w:rPr>
        <w:t>M</w:t>
      </w:r>
      <w:r w:rsidRPr="00AA292B">
        <w:rPr>
          <w:lang w:val="en-AU"/>
        </w:rPr>
        <w:t>ember</w:t>
      </w:r>
      <w:r w:rsidR="00B57BBC">
        <w:rPr>
          <w:lang w:val="en-AU"/>
        </w:rPr>
        <w:t xml:space="preserve"> organisations</w:t>
      </w:r>
      <w:r w:rsidRPr="00AA292B">
        <w:rPr>
          <w:lang w:val="en-AU"/>
        </w:rPr>
        <w:t xml:space="preserve"> by way of this submission. We look forward to being involved in future consultation processes, and hope Government will adequately fund us to undertake this important work. </w:t>
      </w:r>
    </w:p>
    <w:p w14:paraId="682A2329" w14:textId="7BADD1FA" w:rsidR="00AB48ED" w:rsidRPr="00AA292B" w:rsidRDefault="00AB48ED" w:rsidP="00AB48ED">
      <w:pPr>
        <w:rPr>
          <w:lang w:val="en-AU"/>
        </w:rPr>
      </w:pPr>
      <w:r w:rsidRPr="00AA292B">
        <w:rPr>
          <w:lang w:val="en-AU"/>
        </w:rPr>
        <w:t>Should you have any questions in relation to any of the matters raised throughout this submission, please contact our Senior Systemic Advocate, Lauren Henley, via the below information.</w:t>
      </w:r>
    </w:p>
    <w:p w14:paraId="126DC3D8" w14:textId="77777777" w:rsidR="00CC7E80" w:rsidRDefault="00CC7E80" w:rsidP="00953487">
      <w:pPr>
        <w:rPr>
          <w:b/>
          <w:bCs/>
          <w:lang w:val="en-AU"/>
        </w:rPr>
      </w:pPr>
    </w:p>
    <w:p w14:paraId="2381AC2C" w14:textId="7C3C33D6" w:rsidR="00953487" w:rsidRPr="00953487" w:rsidRDefault="00953487" w:rsidP="00953487">
      <w:pPr>
        <w:rPr>
          <w:b/>
          <w:bCs/>
          <w:lang w:val="en-AU"/>
        </w:rPr>
      </w:pPr>
      <w:r w:rsidRPr="00953487">
        <w:rPr>
          <w:b/>
          <w:bCs/>
          <w:lang w:val="en-AU"/>
        </w:rPr>
        <w:t>Submission Contact</w:t>
      </w:r>
    </w:p>
    <w:p w14:paraId="04B58D27" w14:textId="49247DAE" w:rsidR="00953487" w:rsidRPr="000F620B" w:rsidRDefault="0068160D" w:rsidP="00953487">
      <w:pPr>
        <w:rPr>
          <w:lang w:val="en-AU"/>
        </w:rPr>
      </w:pPr>
      <w:r>
        <w:rPr>
          <w:lang w:val="en-AU"/>
        </w:rPr>
        <w:t>Name</w:t>
      </w:r>
      <w:r w:rsidR="00AB48ED">
        <w:rPr>
          <w:lang w:val="en-AU"/>
        </w:rPr>
        <w:t>: Lauren Henley</w:t>
      </w:r>
      <w:r w:rsidR="00FC78BD">
        <w:rPr>
          <w:lang w:val="en-AU"/>
        </w:rPr>
        <w:br/>
      </w:r>
      <w:r>
        <w:rPr>
          <w:lang w:val="en-AU"/>
        </w:rPr>
        <w:t>Title</w:t>
      </w:r>
      <w:r w:rsidR="00AB48ED">
        <w:rPr>
          <w:lang w:val="en-AU"/>
        </w:rPr>
        <w:t xml:space="preserve">: </w:t>
      </w:r>
      <w:r w:rsidR="00C00B1A" w:rsidRPr="00C00B1A">
        <w:rPr>
          <w:lang w:val="en-AU"/>
        </w:rPr>
        <w:t>Senior Systemic Advocate</w:t>
      </w:r>
      <w:r w:rsidR="00FC78BD">
        <w:rPr>
          <w:lang w:val="en-AU"/>
        </w:rPr>
        <w:br/>
      </w:r>
      <w:r w:rsidR="00953487" w:rsidRPr="00953487">
        <w:rPr>
          <w:lang w:val="en-AU"/>
        </w:rPr>
        <w:t xml:space="preserve">M: </w:t>
      </w:r>
      <w:r w:rsidR="00E7204A" w:rsidRPr="00E7204A">
        <w:rPr>
          <w:lang w:val="en-AU"/>
        </w:rPr>
        <w:t>0493 623 709</w:t>
      </w:r>
      <w:r w:rsidR="00FC78BD">
        <w:rPr>
          <w:lang w:val="en-AU"/>
        </w:rPr>
        <w:br/>
      </w:r>
      <w:r w:rsidR="00953487" w:rsidRPr="00953487">
        <w:rPr>
          <w:lang w:val="en-AU"/>
        </w:rPr>
        <w:t xml:space="preserve">E: </w:t>
      </w:r>
      <w:r w:rsidR="00D60F01" w:rsidRPr="00D60F01">
        <w:rPr>
          <w:lang w:val="en-AU"/>
        </w:rPr>
        <w:t>lauren.henley@afdo.org.au</w:t>
      </w:r>
    </w:p>
    <w:sectPr w:rsidR="00953487" w:rsidRPr="000F620B" w:rsidSect="00CA213A">
      <w:footerReference w:type="default" r:id="rId27"/>
      <w:type w:val="continuous"/>
      <w:pgSz w:w="11901" w:h="16817"/>
      <w:pgMar w:top="851" w:right="1411"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12523" w14:textId="77777777" w:rsidR="00CA213A" w:rsidRDefault="00CA213A">
      <w:pPr>
        <w:spacing w:after="0"/>
      </w:pPr>
      <w:r>
        <w:separator/>
      </w:r>
    </w:p>
  </w:endnote>
  <w:endnote w:type="continuationSeparator" w:id="0">
    <w:p w14:paraId="504E7990" w14:textId="77777777" w:rsidR="00CA213A" w:rsidRDefault="00CA213A">
      <w:pPr>
        <w:spacing w:after="0"/>
      </w:pPr>
      <w:r>
        <w:continuationSeparator/>
      </w:r>
    </w:p>
  </w:endnote>
  <w:endnote w:type="continuationNotice" w:id="1">
    <w:p w14:paraId="55DDAC38" w14:textId="77777777" w:rsidR="00CA213A" w:rsidRDefault="00CA213A">
      <w:pPr>
        <w:spacing w:after="0" w:line="240" w:lineRule="auto"/>
      </w:pPr>
    </w:p>
  </w:endnote>
  <w:endnote w:id="2">
    <w:p w14:paraId="689E4AC8" w14:textId="65AF4A00" w:rsidR="00D61551" w:rsidRPr="00AB42EC" w:rsidRDefault="00D61551" w:rsidP="00AB42EC">
      <w:pPr>
        <w:pStyle w:val="EndnoteText"/>
      </w:pPr>
      <w:r w:rsidRPr="00AB42EC">
        <w:rPr>
          <w:rStyle w:val="EndnoteReference"/>
        </w:rPr>
        <w:endnoteRef/>
      </w:r>
      <w:r w:rsidRPr="00AB42EC">
        <w:t xml:space="preserve"> </w:t>
      </w:r>
      <w:r w:rsidR="00226898" w:rsidRPr="00AB42EC">
        <w:t xml:space="preserve">Office of Equity, Diversity, and Inclusion (2021) </w:t>
      </w:r>
      <w:r w:rsidR="00226898" w:rsidRPr="00AB42EC">
        <w:rPr>
          <w:i/>
          <w:iCs/>
        </w:rPr>
        <w:t>Human Rights Model of Disability</w:t>
      </w:r>
      <w:r w:rsidR="00226898" w:rsidRPr="00AB42EC">
        <w:t>, Accessed 12 June 2024, Retrieved from &lt;https://www.edi.nih.gov/blog/communities/human-rights-model-disability&gt;</w:t>
      </w:r>
    </w:p>
  </w:endnote>
  <w:endnote w:id="3">
    <w:p w14:paraId="0940DA57" w14:textId="35A3E4C9" w:rsidR="00417C15" w:rsidRPr="00AB42EC" w:rsidRDefault="00417C15" w:rsidP="00AB42EC">
      <w:pPr>
        <w:pStyle w:val="EndnoteText"/>
      </w:pPr>
      <w:r w:rsidRPr="00AB42EC">
        <w:rPr>
          <w:rStyle w:val="EndnoteReference"/>
        </w:rPr>
        <w:endnoteRef/>
      </w:r>
      <w:r w:rsidRPr="00AB42EC">
        <w:t xml:space="preserve"> United Nations Committee on the Rights of Persons with Disabilities (2017) </w:t>
      </w:r>
      <w:r w:rsidRPr="00AB42EC">
        <w:rPr>
          <w:i/>
          <w:iCs/>
        </w:rPr>
        <w:t>General Comment on Equality and Non- discrimination</w:t>
      </w:r>
      <w:r w:rsidRPr="00AB42EC">
        <w:t xml:space="preserve"> (Article 5).</w:t>
      </w:r>
    </w:p>
  </w:endnote>
  <w:endnote w:id="4">
    <w:p w14:paraId="191D7EE2" w14:textId="1A7A25BD" w:rsidR="003A4CDB" w:rsidRPr="00AB42EC" w:rsidRDefault="003A4CDB" w:rsidP="00AB42EC">
      <w:pPr>
        <w:pStyle w:val="EndnoteText"/>
      </w:pPr>
      <w:r w:rsidRPr="00AB42EC">
        <w:rPr>
          <w:rStyle w:val="EndnoteReference"/>
        </w:rPr>
        <w:endnoteRef/>
      </w:r>
      <w:r w:rsidRPr="00AB42EC">
        <w:t xml:space="preserve"> Parliament of Australia (2022) </w:t>
      </w:r>
      <w:r w:rsidRPr="00AB42EC">
        <w:rPr>
          <w:i/>
          <w:iCs/>
        </w:rPr>
        <w:t xml:space="preserve">Recommendations from the Select Committee on Autism's Inquiry into Autism Services, Support and Life Outcomes for </w:t>
      </w:r>
      <w:r w:rsidR="007D60AD" w:rsidRPr="00AB42EC">
        <w:rPr>
          <w:i/>
          <w:iCs/>
        </w:rPr>
        <w:t>Autistic</w:t>
      </w:r>
      <w:r w:rsidRPr="00AB42EC">
        <w:rPr>
          <w:i/>
          <w:iCs/>
        </w:rPr>
        <w:t xml:space="preserve"> Australians</w:t>
      </w:r>
      <w:r w:rsidRPr="00AB42EC">
        <w:t xml:space="preserve">, </w:t>
      </w:r>
      <w:r w:rsidR="00EC7D01" w:rsidRPr="00AB42EC">
        <w:t>A</w:t>
      </w:r>
      <w:r w:rsidRPr="00AB42EC">
        <w:t xml:space="preserve">ccessed 4 June 2024, </w:t>
      </w:r>
      <w:r w:rsidR="00EC7D01" w:rsidRPr="00AB42EC">
        <w:t>R</w:t>
      </w:r>
      <w:r w:rsidRPr="00AB42EC">
        <w:t>etrieved from</w:t>
      </w:r>
      <w:r w:rsidR="00EC7D01" w:rsidRPr="00AB42EC">
        <w:t xml:space="preserve"> </w:t>
      </w:r>
      <w:r w:rsidRPr="00AB42EC">
        <w:t>&lt;https://www.aph.gov.au/Parliamentary_Business/Committees/Senate/Autism/autism/Report/section?id=committees%2Freportsen%2F024412%2F72466&gt;</w:t>
      </w:r>
    </w:p>
  </w:endnote>
  <w:endnote w:id="5">
    <w:p w14:paraId="1B9965AB" w14:textId="26BB55D9" w:rsidR="003A4CDB" w:rsidRPr="00AB42EC" w:rsidRDefault="003A4CDB" w:rsidP="00AB42EC">
      <w:pPr>
        <w:pStyle w:val="EndnoteText"/>
      </w:pPr>
      <w:r w:rsidRPr="00AB42EC">
        <w:rPr>
          <w:rStyle w:val="EndnoteReference"/>
        </w:rPr>
        <w:endnoteRef/>
      </w:r>
      <w:r w:rsidRPr="00AB42EC">
        <w:t xml:space="preserve"> </w:t>
      </w:r>
      <w:bookmarkStart w:id="11" w:name="_Hlk169263901"/>
      <w:r w:rsidRPr="00AB42EC">
        <w:t xml:space="preserve">Commonwealth of Australia (2022) </w:t>
      </w:r>
      <w:r w:rsidRPr="00AB42EC">
        <w:rPr>
          <w:i/>
          <w:iCs/>
        </w:rPr>
        <w:t xml:space="preserve">Australian Government response to the Select Committee on Autism report: Services, </w:t>
      </w:r>
      <w:r w:rsidRPr="00AB42EC">
        <w:rPr>
          <w:i/>
          <w:iCs/>
        </w:rPr>
        <w:t xml:space="preserve">support and life outcomes for </w:t>
      </w:r>
      <w:r w:rsidR="007D60AD" w:rsidRPr="00AB42EC">
        <w:rPr>
          <w:i/>
          <w:iCs/>
        </w:rPr>
        <w:t>Autistic</w:t>
      </w:r>
      <w:r w:rsidRPr="00AB42EC">
        <w:rPr>
          <w:i/>
          <w:iCs/>
        </w:rPr>
        <w:t xml:space="preserve"> Australians</w:t>
      </w:r>
      <w:r w:rsidRPr="00AB42EC">
        <w:t xml:space="preserve"> (Microsoft Word version), P3.</w:t>
      </w:r>
    </w:p>
    <w:bookmarkEnd w:id="11"/>
  </w:endnote>
  <w:endnote w:id="6">
    <w:p w14:paraId="58B51C2F" w14:textId="637CBEE0" w:rsidR="00701604" w:rsidRPr="00065B48" w:rsidRDefault="00701604" w:rsidP="00065B48">
      <w:pPr>
        <w:pStyle w:val="EndnoteText"/>
        <w:rPr>
          <w:rFonts w:cstheme="minorHAnsi"/>
        </w:rPr>
      </w:pPr>
      <w:r w:rsidRPr="00065B48">
        <w:rPr>
          <w:rStyle w:val="EndnoteReference"/>
          <w:rFonts w:cstheme="minorHAnsi"/>
        </w:rPr>
        <w:endnoteRef/>
      </w:r>
      <w:r w:rsidRPr="00065B48">
        <w:rPr>
          <w:rFonts w:cstheme="minorHAnsi"/>
        </w:rPr>
        <w:t xml:space="preserve"> United Nations (2006) </w:t>
      </w:r>
      <w:r w:rsidRPr="00065B48">
        <w:rPr>
          <w:rFonts w:cstheme="minorHAnsi"/>
          <w:i/>
          <w:iCs/>
        </w:rPr>
        <w:t>Convention on the Rights of Persons with Disabilities</w:t>
      </w:r>
      <w:r w:rsidRPr="00065B48">
        <w:rPr>
          <w:rFonts w:cstheme="minorHAnsi"/>
        </w:rPr>
        <w:t>, Treaty Series, vol. 2515, Dec. 2006, Accessed 20 March 2024</w:t>
      </w:r>
      <w:r w:rsidR="00AB42EC" w:rsidRPr="00065B48">
        <w:rPr>
          <w:rFonts w:cstheme="minorHAnsi"/>
        </w:rPr>
        <w:t>, Retrieved from &lt;https://www.un.org/development/desa/disabilities/convention-on-the-rights-of-persons-with-disabilities/article-4-general-obligations.html</w:t>
      </w:r>
      <w:r w:rsidR="00AB42EC" w:rsidRPr="00065B48">
        <w:rPr>
          <w:rStyle w:val="Hyperlink"/>
          <w:rFonts w:cstheme="minorHAnsi"/>
          <w:color w:val="auto"/>
          <w:u w:val="none"/>
        </w:rPr>
        <w:t>&gt;</w:t>
      </w:r>
    </w:p>
  </w:endnote>
  <w:endnote w:id="7">
    <w:p w14:paraId="37071CE7" w14:textId="79058A13" w:rsidR="00701604" w:rsidRPr="00065B48" w:rsidRDefault="00701604" w:rsidP="00065B48">
      <w:pPr>
        <w:pStyle w:val="EndnoteText"/>
      </w:pPr>
      <w:r w:rsidRPr="00065B48">
        <w:rPr>
          <w:rStyle w:val="EndnoteReference"/>
        </w:rPr>
        <w:endnoteRef/>
      </w:r>
      <w:r w:rsidRPr="00065B48">
        <w:t xml:space="preserve"> United Nations Committee on the Rights of Persons with Disability (2018) </w:t>
      </w:r>
      <w:r w:rsidRPr="00065B48">
        <w:rPr>
          <w:i/>
          <w:iCs/>
        </w:rPr>
        <w:t>General comment No. 7 (2018) on the participation of persons with disabilities, including children with disabilities, through their representative organizations, in the implementation and monitoring of the Convention</w:t>
      </w:r>
      <w:r w:rsidRPr="00065B48">
        <w:t xml:space="preserve">, </w:t>
      </w:r>
      <w:r w:rsidR="00AB42EC" w:rsidRPr="00065B48">
        <w:t>A</w:t>
      </w:r>
      <w:r w:rsidRPr="00065B48">
        <w:t xml:space="preserve">ccessed 7 March 2024, </w:t>
      </w:r>
      <w:r w:rsidR="00AB42EC" w:rsidRPr="00065B48">
        <w:t>R</w:t>
      </w:r>
      <w:r w:rsidRPr="00065B48">
        <w:t>etrieved from &lt;https://docstore.ohchr.org/SelfServices/FilesHandler.ashx?enc=6QkG1d%2FPPRiCAqhKb7yhsnbHatvuFkZ%2Bt93Y3D%2Baa2pjFYzWLBu0vA%2BBr7QovZhbuyqzjDN0plweYI46WXrJJ6aB3Mx4y%2FspT%2BQrY5K2mKse5zjo%2BfvBDVu%2B42R9iK1p#:~:text=The%20participation%20of%20persons%20with%20disabilities%20in%20implementing%20and%20monitoring,on%20Civil%20and%20Political%20Rights&gt;</w:t>
      </w:r>
    </w:p>
  </w:endnote>
  <w:endnote w:id="8">
    <w:p w14:paraId="2F61D693" w14:textId="30EBD3FF" w:rsidR="00054CC9" w:rsidRPr="00065B48" w:rsidRDefault="00054CC9" w:rsidP="00065B48">
      <w:pPr>
        <w:pStyle w:val="EndnoteText"/>
      </w:pPr>
      <w:r w:rsidRPr="00065B48">
        <w:rPr>
          <w:rStyle w:val="EndnoteReference"/>
        </w:rPr>
        <w:endnoteRef/>
      </w:r>
      <w:r w:rsidRPr="00065B48">
        <w:t xml:space="preserve"> Parliament of Australia (2022) </w:t>
      </w:r>
      <w:r w:rsidRPr="00065B48">
        <w:rPr>
          <w:i/>
          <w:iCs/>
        </w:rPr>
        <w:t>Recommendations from the Select Committee on Autism's Inquiry into Autism Services, Support and Life Outcomes for Autistic Australians</w:t>
      </w:r>
      <w:r w:rsidRPr="00065B48">
        <w:t>, Accessed 4 June 2024, Retrieved from &lt;https://www.aph.gov.au/Parliamentary_Business/Committees/Senate/Autism/autism/Report/section?id=committees%2Freportsen%2F024412%2F72466&gt;</w:t>
      </w:r>
    </w:p>
  </w:endnote>
  <w:endnote w:id="9">
    <w:p w14:paraId="2567191D" w14:textId="1D1404E9" w:rsidR="00BF4A61" w:rsidRPr="00065B48" w:rsidRDefault="00BF4A61" w:rsidP="00065B48">
      <w:pPr>
        <w:pStyle w:val="EndnoteText"/>
      </w:pPr>
      <w:r w:rsidRPr="00065B48">
        <w:rPr>
          <w:rStyle w:val="EndnoteReference"/>
        </w:rPr>
        <w:endnoteRef/>
      </w:r>
      <w:r w:rsidRPr="00065B48">
        <w:t xml:space="preserve"> Commonwealth of Australia (2022) </w:t>
      </w:r>
      <w:r w:rsidRPr="00065B48">
        <w:rPr>
          <w:i/>
          <w:iCs/>
        </w:rPr>
        <w:t xml:space="preserve">Australian Government response to the Select Committee on Autism report: Services, </w:t>
      </w:r>
      <w:r w:rsidRPr="00065B48">
        <w:rPr>
          <w:i/>
          <w:iCs/>
        </w:rPr>
        <w:t>support and life outcomes for Autistic Australians</w:t>
      </w:r>
      <w:r w:rsidRPr="00065B48">
        <w:t xml:space="preserve"> (Microsoft Word version), P3.</w:t>
      </w:r>
    </w:p>
  </w:endnote>
  <w:endnote w:id="10">
    <w:p w14:paraId="70240C8C" w14:textId="40CCA209" w:rsidR="00036E5C" w:rsidRPr="00065B48" w:rsidRDefault="00036E5C" w:rsidP="00065B48">
      <w:pPr>
        <w:pStyle w:val="EndnoteText"/>
      </w:pPr>
      <w:r w:rsidRPr="00065B48">
        <w:rPr>
          <w:rStyle w:val="EndnoteReference"/>
        </w:rPr>
        <w:endnoteRef/>
      </w:r>
      <w:r w:rsidRPr="00065B48">
        <w:t xml:space="preserve"> Centre of Excellence in Population Ageing Research (2022) </w:t>
      </w:r>
      <w:r w:rsidRPr="00065B48">
        <w:rPr>
          <w:i/>
          <w:iCs/>
        </w:rPr>
        <w:t>New projections for Australia’s ageing population</w:t>
      </w:r>
      <w:r w:rsidRPr="00065B48">
        <w:t xml:space="preserve">, </w:t>
      </w:r>
      <w:r w:rsidR="00065B48" w:rsidRPr="00065B48">
        <w:t>A</w:t>
      </w:r>
      <w:r w:rsidRPr="00065B48">
        <w:t xml:space="preserve">ccessed 9 June 2024, </w:t>
      </w:r>
      <w:r w:rsidR="00065B48" w:rsidRPr="00065B48">
        <w:t>R</w:t>
      </w:r>
      <w:r w:rsidRPr="00065B48">
        <w:t>etrieved from &lt;https://cepar.edu.au/news-events/news/new-projections-australia-ageing-population&gt;</w:t>
      </w:r>
    </w:p>
  </w:endnote>
  <w:endnote w:id="11">
    <w:p w14:paraId="32023A4A" w14:textId="35E5B228" w:rsidR="00036E5C" w:rsidRPr="00065B48" w:rsidRDefault="00036E5C" w:rsidP="00065B48">
      <w:pPr>
        <w:spacing w:after="0" w:line="240" w:lineRule="auto"/>
        <w:rPr>
          <w:rFonts w:cs="Arial"/>
          <w:sz w:val="20"/>
          <w:szCs w:val="20"/>
        </w:rPr>
      </w:pPr>
      <w:r w:rsidRPr="00065B48">
        <w:rPr>
          <w:rStyle w:val="EndnoteReference"/>
          <w:rFonts w:cs="Arial"/>
          <w:sz w:val="20"/>
          <w:szCs w:val="20"/>
        </w:rPr>
        <w:endnoteRef/>
      </w:r>
      <w:r w:rsidRPr="00065B48">
        <w:rPr>
          <w:rFonts w:cs="Arial"/>
          <w:sz w:val="20"/>
          <w:szCs w:val="20"/>
        </w:rPr>
        <w:t xml:space="preserve"> Commonwealth of Australia, </w:t>
      </w:r>
      <w:r w:rsidRPr="00065B48">
        <w:rPr>
          <w:rFonts w:cs="Arial"/>
          <w:i/>
          <w:iCs/>
          <w:sz w:val="20"/>
          <w:szCs w:val="20"/>
        </w:rPr>
        <w:t>National Disability Insurance Scheme Act 2013 (Cth), Section 22: Age requirements</w:t>
      </w:r>
      <w:r w:rsidRPr="00065B48">
        <w:rPr>
          <w:rFonts w:cs="Arial"/>
          <w:sz w:val="20"/>
          <w:szCs w:val="20"/>
        </w:rPr>
        <w:t xml:space="preserve">, </w:t>
      </w:r>
      <w:r w:rsidR="00065B48" w:rsidRPr="00065B48">
        <w:rPr>
          <w:rFonts w:cs="Arial"/>
          <w:sz w:val="20"/>
          <w:szCs w:val="20"/>
        </w:rPr>
        <w:t>A</w:t>
      </w:r>
      <w:r w:rsidRPr="00065B48">
        <w:rPr>
          <w:rFonts w:cs="Arial"/>
          <w:sz w:val="20"/>
          <w:szCs w:val="20"/>
        </w:rPr>
        <w:t xml:space="preserve">ccessed 9 February 2024, </w:t>
      </w:r>
      <w:r w:rsidR="00065B48" w:rsidRPr="00065B48">
        <w:rPr>
          <w:rFonts w:cs="Arial"/>
          <w:sz w:val="20"/>
          <w:szCs w:val="20"/>
        </w:rPr>
        <w:t>R</w:t>
      </w:r>
      <w:r w:rsidRPr="00065B48">
        <w:rPr>
          <w:rFonts w:cs="Arial"/>
          <w:sz w:val="20"/>
          <w:szCs w:val="20"/>
        </w:rPr>
        <w:t>etrieved from</w:t>
      </w:r>
      <w:r w:rsidR="00065B48" w:rsidRPr="00065B48">
        <w:rPr>
          <w:rFonts w:cs="Arial"/>
          <w:sz w:val="20"/>
          <w:szCs w:val="20"/>
        </w:rPr>
        <w:t xml:space="preserve"> </w:t>
      </w:r>
      <w:r w:rsidRPr="00065B48">
        <w:rPr>
          <w:rFonts w:cs="Arial"/>
          <w:sz w:val="20"/>
          <w:szCs w:val="20"/>
        </w:rPr>
        <w:t>&lt;https://www5.austlii.edu.au/au/legis/cth/consol_act/ndisa2013341/s22.html&gt;</w:t>
      </w:r>
    </w:p>
  </w:endnote>
  <w:endnote w:id="12">
    <w:p w14:paraId="1A830439" w14:textId="01E79CE0" w:rsidR="00036E5C" w:rsidRPr="00065B48" w:rsidRDefault="00036E5C" w:rsidP="00065B48">
      <w:pPr>
        <w:pStyle w:val="EndnoteText"/>
        <w:rPr>
          <w:rFonts w:cs="Arial"/>
        </w:rPr>
      </w:pPr>
      <w:r w:rsidRPr="00065B48">
        <w:rPr>
          <w:rStyle w:val="EndnoteReference"/>
          <w:rFonts w:cs="Arial"/>
        </w:rPr>
        <w:endnoteRef/>
      </w:r>
      <w:r w:rsidRPr="00065B48">
        <w:rPr>
          <w:rFonts w:cs="Arial"/>
        </w:rPr>
        <w:t xml:space="preserve"> National Disability Insurance Agency (2019) </w:t>
      </w:r>
      <w:r w:rsidRPr="00065B48">
        <w:rPr>
          <w:rFonts w:cs="Arial"/>
          <w:i/>
          <w:iCs/>
        </w:rPr>
        <w:t xml:space="preserve">Do you meet the age </w:t>
      </w:r>
      <w:r w:rsidRPr="00065B48">
        <w:rPr>
          <w:rFonts w:cs="Arial"/>
          <w:i/>
          <w:iCs/>
        </w:rPr>
        <w:t>requirements?</w:t>
      </w:r>
      <w:r w:rsidRPr="00065B48">
        <w:rPr>
          <w:rFonts w:cs="Arial"/>
        </w:rPr>
        <w:t xml:space="preserve">, </w:t>
      </w:r>
      <w:r w:rsidR="00437327" w:rsidRPr="00065B48">
        <w:rPr>
          <w:rFonts w:cs="Arial"/>
        </w:rPr>
        <w:t>A</w:t>
      </w:r>
      <w:r w:rsidRPr="00065B48">
        <w:rPr>
          <w:rFonts w:cs="Arial"/>
        </w:rPr>
        <w:t xml:space="preserve">ccessed 17 August 2023, </w:t>
      </w:r>
      <w:r w:rsidR="00437327" w:rsidRPr="00065B48">
        <w:rPr>
          <w:rFonts w:cs="Arial"/>
        </w:rPr>
        <w:t>R</w:t>
      </w:r>
      <w:r w:rsidRPr="00065B48">
        <w:rPr>
          <w:rFonts w:cs="Arial"/>
        </w:rPr>
        <w:t>etrieved from &lt;https://ourguidelines.ndis.gov.au/home/becoming-participant/applying-ndis/do-you-meet-age-requirements&gt;</w:t>
      </w:r>
    </w:p>
  </w:endnote>
  <w:endnote w:id="13">
    <w:p w14:paraId="2F45C24B" w14:textId="11B3C6E7" w:rsidR="00036E5C" w:rsidRPr="00065B48" w:rsidRDefault="00036E5C" w:rsidP="00065B48">
      <w:pPr>
        <w:spacing w:after="0" w:line="240" w:lineRule="auto"/>
        <w:rPr>
          <w:rFonts w:cstheme="minorHAnsi"/>
          <w:sz w:val="20"/>
          <w:szCs w:val="20"/>
        </w:rPr>
      </w:pPr>
      <w:r w:rsidRPr="00065B48">
        <w:rPr>
          <w:rStyle w:val="EndnoteReference"/>
          <w:rFonts w:cstheme="minorHAnsi"/>
          <w:sz w:val="20"/>
          <w:szCs w:val="20"/>
        </w:rPr>
        <w:endnoteRef/>
      </w:r>
      <w:r w:rsidRPr="00065B48">
        <w:rPr>
          <w:rFonts w:cstheme="minorHAnsi"/>
          <w:sz w:val="20"/>
          <w:szCs w:val="20"/>
        </w:rPr>
        <w:t xml:space="preserve"> University of Washington, UW Medicine Newsroom (2023) </w:t>
      </w:r>
      <w:r w:rsidRPr="00065B48">
        <w:rPr>
          <w:rFonts w:cstheme="minorHAnsi"/>
          <w:i/>
          <w:iCs/>
          <w:sz w:val="20"/>
          <w:szCs w:val="20"/>
        </w:rPr>
        <w:t>Risk of dementia increases with traumatic brain injury</w:t>
      </w:r>
      <w:r w:rsidRPr="00065B48">
        <w:rPr>
          <w:rFonts w:cstheme="minorHAnsi"/>
          <w:sz w:val="20"/>
          <w:szCs w:val="20"/>
        </w:rPr>
        <w:t xml:space="preserve">, </w:t>
      </w:r>
      <w:r w:rsidR="009E3FC6">
        <w:rPr>
          <w:rFonts w:cstheme="minorHAnsi"/>
          <w:sz w:val="20"/>
          <w:szCs w:val="20"/>
        </w:rPr>
        <w:t>A</w:t>
      </w:r>
      <w:r w:rsidRPr="00065B48">
        <w:rPr>
          <w:rFonts w:cstheme="minorHAnsi"/>
          <w:sz w:val="20"/>
          <w:szCs w:val="20"/>
        </w:rPr>
        <w:t>ccessed 14 February 2024</w:t>
      </w:r>
      <w:r w:rsidR="009E3FC6">
        <w:rPr>
          <w:rFonts w:cstheme="minorHAnsi"/>
          <w:sz w:val="20"/>
          <w:szCs w:val="20"/>
        </w:rPr>
        <w:t>, Retrieved from</w:t>
      </w:r>
      <w:r w:rsidRPr="00065B48">
        <w:rPr>
          <w:rFonts w:cstheme="minorHAnsi"/>
          <w:sz w:val="20"/>
          <w:szCs w:val="20"/>
        </w:rPr>
        <w:t xml:space="preserve"> </w:t>
      </w:r>
      <w:r w:rsidR="009E3FC6">
        <w:rPr>
          <w:rFonts w:cstheme="minorHAnsi"/>
          <w:sz w:val="20"/>
          <w:szCs w:val="20"/>
        </w:rPr>
        <w:t>&lt;</w:t>
      </w:r>
      <w:r w:rsidRPr="009E3FC6">
        <w:rPr>
          <w:rFonts w:cstheme="minorHAnsi"/>
          <w:sz w:val="20"/>
          <w:szCs w:val="20"/>
        </w:rPr>
        <w:t>https://newsroom.uw.edu/news-releases/risk-dementia-increases-traumatic-brain-injury</w:t>
      </w:r>
      <w:r w:rsidR="009E3FC6">
        <w:rPr>
          <w:rFonts w:cstheme="minorHAnsi"/>
          <w:sz w:val="20"/>
          <w:szCs w:val="20"/>
        </w:rPr>
        <w:t>&gt;</w:t>
      </w:r>
      <w:r w:rsidRPr="00065B48">
        <w:rPr>
          <w:rFonts w:cstheme="minorHAnsi"/>
          <w:sz w:val="20"/>
          <w:szCs w:val="20"/>
        </w:rPr>
        <w:t xml:space="preserve"> </w:t>
      </w:r>
    </w:p>
  </w:endnote>
  <w:endnote w:id="14">
    <w:p w14:paraId="223B8AF1" w14:textId="6E34EF49" w:rsidR="00036E5C" w:rsidRPr="00065B48" w:rsidRDefault="00036E5C" w:rsidP="00065B48">
      <w:pPr>
        <w:spacing w:after="0" w:line="240" w:lineRule="auto"/>
        <w:rPr>
          <w:rFonts w:cstheme="minorHAnsi"/>
          <w:sz w:val="20"/>
          <w:szCs w:val="20"/>
        </w:rPr>
      </w:pPr>
      <w:r w:rsidRPr="00065B48">
        <w:rPr>
          <w:rStyle w:val="EndnoteReference"/>
          <w:rFonts w:cstheme="minorHAnsi"/>
          <w:sz w:val="20"/>
          <w:szCs w:val="20"/>
        </w:rPr>
        <w:endnoteRef/>
      </w:r>
      <w:r w:rsidRPr="00065B48">
        <w:rPr>
          <w:rFonts w:cstheme="minorHAnsi"/>
          <w:sz w:val="20"/>
          <w:szCs w:val="20"/>
        </w:rPr>
        <w:t xml:space="preserve"> Dementia Australia (2022) </w:t>
      </w:r>
      <w:r w:rsidRPr="00065B48">
        <w:rPr>
          <w:rFonts w:cstheme="minorHAnsi"/>
          <w:i/>
          <w:iCs/>
          <w:sz w:val="20"/>
          <w:szCs w:val="20"/>
        </w:rPr>
        <w:t>Down syndrome and Alzheimer's</w:t>
      </w:r>
      <w:r w:rsidRPr="00065B48">
        <w:rPr>
          <w:rFonts w:cstheme="minorHAnsi"/>
          <w:sz w:val="20"/>
          <w:szCs w:val="20"/>
        </w:rPr>
        <w:t xml:space="preserve"> </w:t>
      </w:r>
      <w:r w:rsidRPr="009E3FC6">
        <w:rPr>
          <w:rFonts w:cstheme="minorHAnsi"/>
          <w:i/>
          <w:iCs/>
          <w:sz w:val="20"/>
          <w:szCs w:val="20"/>
        </w:rPr>
        <w:t>disease</w:t>
      </w:r>
      <w:r w:rsidRPr="00065B48">
        <w:rPr>
          <w:rFonts w:cstheme="minorHAnsi"/>
          <w:sz w:val="20"/>
          <w:szCs w:val="20"/>
        </w:rPr>
        <w:t xml:space="preserve">, </w:t>
      </w:r>
      <w:r w:rsidR="009E3FC6">
        <w:rPr>
          <w:rFonts w:cstheme="minorHAnsi"/>
          <w:sz w:val="20"/>
          <w:szCs w:val="20"/>
        </w:rPr>
        <w:t>A</w:t>
      </w:r>
      <w:r w:rsidRPr="00065B48">
        <w:rPr>
          <w:rFonts w:cstheme="minorHAnsi"/>
          <w:sz w:val="20"/>
          <w:szCs w:val="20"/>
        </w:rPr>
        <w:t>ccessed 14 February 2024</w:t>
      </w:r>
      <w:r w:rsidR="009E3FC6">
        <w:rPr>
          <w:rFonts w:cstheme="minorHAnsi"/>
          <w:sz w:val="20"/>
          <w:szCs w:val="20"/>
        </w:rPr>
        <w:t>, Retrieved from</w:t>
      </w:r>
      <w:r w:rsidRPr="00065B48">
        <w:rPr>
          <w:rFonts w:cstheme="minorHAnsi"/>
          <w:sz w:val="20"/>
          <w:szCs w:val="20"/>
        </w:rPr>
        <w:t xml:space="preserve"> </w:t>
      </w:r>
      <w:r w:rsidR="009E3FC6">
        <w:rPr>
          <w:rFonts w:cstheme="minorHAnsi"/>
          <w:sz w:val="20"/>
          <w:szCs w:val="20"/>
        </w:rPr>
        <w:t>&lt;</w:t>
      </w:r>
      <w:r w:rsidR="009E3FC6" w:rsidRPr="009E3FC6">
        <w:rPr>
          <w:rFonts w:cstheme="minorHAnsi"/>
          <w:sz w:val="20"/>
          <w:szCs w:val="20"/>
        </w:rPr>
        <w:t>https://www.dementia.org.au/about-dementia/types-of-dementia/down-syndrome-and-alzheimers-disease</w:t>
      </w:r>
      <w:r w:rsidRPr="00065B48">
        <w:rPr>
          <w:rFonts w:cstheme="minorHAnsi"/>
          <w:sz w:val="20"/>
          <w:szCs w:val="20"/>
        </w:rPr>
        <w:t>.</w:t>
      </w:r>
      <w:r w:rsidR="009E3FC6">
        <w:rPr>
          <w:rFonts w:cstheme="minorHAnsi"/>
          <w:sz w:val="20"/>
          <w:szCs w:val="20"/>
        </w:rPr>
        <w:t>&gt;</w:t>
      </w:r>
    </w:p>
  </w:endnote>
  <w:endnote w:id="15">
    <w:p w14:paraId="614E1544" w14:textId="24C86B6D" w:rsidR="00036E5C" w:rsidRPr="00065B48" w:rsidRDefault="00036E5C" w:rsidP="00065B48">
      <w:pPr>
        <w:spacing w:after="0" w:line="240" w:lineRule="auto"/>
        <w:rPr>
          <w:rFonts w:cstheme="minorHAnsi"/>
          <w:sz w:val="20"/>
          <w:szCs w:val="20"/>
          <w:u w:val="single"/>
        </w:rPr>
      </w:pPr>
      <w:r w:rsidRPr="00065B48">
        <w:rPr>
          <w:rStyle w:val="EndnoteReference"/>
          <w:rFonts w:cstheme="minorHAnsi"/>
          <w:sz w:val="20"/>
          <w:szCs w:val="20"/>
        </w:rPr>
        <w:endnoteRef/>
      </w:r>
      <w:r w:rsidRPr="00065B48">
        <w:rPr>
          <w:rFonts w:cstheme="minorHAnsi"/>
          <w:sz w:val="20"/>
          <w:szCs w:val="20"/>
        </w:rPr>
        <w:t xml:space="preserve"> Commonwealth of Australia, NDIS Quality and Safeguards Commission (2020) </w:t>
      </w:r>
      <w:r w:rsidRPr="00065B48">
        <w:rPr>
          <w:rFonts w:cstheme="minorHAnsi"/>
          <w:i/>
          <w:iCs/>
          <w:sz w:val="20"/>
          <w:szCs w:val="20"/>
        </w:rPr>
        <w:t>Report: Mortality patterns among people using disability support services in Australia</w:t>
      </w:r>
      <w:r w:rsidRPr="00065B48">
        <w:rPr>
          <w:rFonts w:cstheme="minorHAnsi"/>
          <w:sz w:val="20"/>
          <w:szCs w:val="20"/>
        </w:rPr>
        <w:t>, Accessed 9 February 2024</w:t>
      </w:r>
      <w:r w:rsidR="009E3FC6">
        <w:rPr>
          <w:rFonts w:cstheme="minorHAnsi"/>
          <w:sz w:val="20"/>
          <w:szCs w:val="20"/>
        </w:rPr>
        <w:t>, Retrieved from &lt;</w:t>
      </w:r>
      <w:r w:rsidRPr="009E3FC6">
        <w:rPr>
          <w:rFonts w:cstheme="minorHAnsi"/>
          <w:sz w:val="20"/>
          <w:szCs w:val="20"/>
        </w:rPr>
        <w:t>https://www.ndiscommission.gov.au/resources/reports-policies-and-frameworks/research-deaths-people-disability/2020-report-mortality#:~:text=Over%20the%20five%20years%20of,130%20deaths%20per%20100%2C000%20people)</w:t>
      </w:r>
      <w:r w:rsidR="009E3FC6">
        <w:rPr>
          <w:rFonts w:cstheme="minorHAnsi"/>
          <w:sz w:val="20"/>
          <w:szCs w:val="20"/>
        </w:rPr>
        <w:t>&gt;</w:t>
      </w:r>
    </w:p>
  </w:endnote>
  <w:endnote w:id="16">
    <w:p w14:paraId="0B92CA1E" w14:textId="37FD7EFE" w:rsidR="00036E5C" w:rsidRDefault="00036E5C" w:rsidP="00065B48">
      <w:pPr>
        <w:pStyle w:val="EndnoteText"/>
      </w:pPr>
      <w:r w:rsidRPr="00065B48">
        <w:rPr>
          <w:rStyle w:val="EndnoteReference"/>
        </w:rPr>
        <w:endnoteRef/>
      </w:r>
      <w:r w:rsidRPr="00065B48">
        <w:t xml:space="preserve"> Department of Prime Minister and Cabinet (2023) </w:t>
      </w:r>
      <w:r w:rsidRPr="002D5BA4">
        <w:rPr>
          <w:i/>
          <w:iCs/>
        </w:rPr>
        <w:t>NDIS Review Report: Inclusive mainstream services coordinated with the NDIS</w:t>
      </w:r>
      <w:r w:rsidRPr="00065B48">
        <w:t xml:space="preserve">, </w:t>
      </w:r>
      <w:r w:rsidR="002D5BA4">
        <w:t>A</w:t>
      </w:r>
      <w:r w:rsidRPr="00065B48">
        <w:t xml:space="preserve">ccessed 12 June 2024, </w:t>
      </w:r>
      <w:r w:rsidR="002D5BA4">
        <w:t>R</w:t>
      </w:r>
      <w:r w:rsidRPr="00065B48">
        <w:t>etrieved from &lt;https://www.ndisreview.gov.au/resources/reports/working-together-deliver-ndis/part-one-unified-system-support-people-disability-1&gt;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F6FAB" w14:textId="5C7008B0" w:rsidR="001831B7" w:rsidRDefault="00145EC0">
    <w:pPr>
      <w:pStyle w:val="Footer"/>
    </w:pPr>
    <w:r>
      <w:rPr>
        <w:noProof/>
      </w:rPr>
      <mc:AlternateContent>
        <mc:Choice Requires="wps">
          <w:drawing>
            <wp:anchor distT="0" distB="0" distL="114300" distR="114300" simplePos="0" relativeHeight="251658240" behindDoc="0" locked="0" layoutInCell="1" allowOverlap="1" wp14:anchorId="4D502468" wp14:editId="1EE1EDE4">
              <wp:simplePos x="0" y="0"/>
              <wp:positionH relativeFrom="page">
                <wp:align>left</wp:align>
              </wp:positionH>
              <wp:positionV relativeFrom="paragraph">
                <wp:posOffset>70485</wp:posOffset>
              </wp:positionV>
              <wp:extent cx="8093075" cy="272415"/>
              <wp:effectExtent l="0" t="0" r="0" b="0"/>
              <wp:wrapNone/>
              <wp:docPr id="8209932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415"/>
                      </a:xfrm>
                      <a:prstGeom prst="rect">
                        <a:avLst/>
                      </a:prstGeom>
                      <a:solidFill>
                        <a:srgbClr val="41190B"/>
                      </a:solidFill>
                      <a:ln>
                        <a:noFill/>
                      </a:ln>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02468" id="Rectangle 2" o:spid="_x0000_s1026" style="position:absolute;margin-left:0;margin-top:5.55pt;width:637.25pt;height:21.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AGBRde7wEAAMADAAAOAAAAAAAAAAAAAAAAAC4CAABkcnMvZTJv&#10;RG9jLnhtbFBLAQItABQABgAIAAAAIQAh1JXU3gAAAAcBAAAPAAAAAAAAAAAAAAAAAEkEAABkcnMv&#10;ZG93bnJldi54bWxQSwUGAAAAAAQABADzAAAAVAU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v:textbox>
              <w10:wrap anchorx="page"/>
            </v:rect>
          </w:pict>
        </mc:Fallback>
      </mc:AlternateContent>
    </w:r>
    <w:r>
      <w:rPr>
        <w:noProof/>
      </w:rPr>
      <mc:AlternateContent>
        <mc:Choice Requires="wps">
          <w:drawing>
            <wp:anchor distT="0" distB="0" distL="114300" distR="114300" simplePos="0" relativeHeight="251658241" behindDoc="0" locked="0" layoutInCell="1" allowOverlap="1" wp14:anchorId="03588EB5" wp14:editId="7F329A78">
              <wp:simplePos x="0" y="0"/>
              <wp:positionH relativeFrom="page">
                <wp:align>left</wp:align>
              </wp:positionH>
              <wp:positionV relativeFrom="paragraph">
                <wp:posOffset>342265</wp:posOffset>
              </wp:positionV>
              <wp:extent cx="8093075" cy="864870"/>
              <wp:effectExtent l="0" t="0" r="0" b="0"/>
              <wp:wrapNone/>
              <wp:docPr id="17654910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bookmarkStart w:id="21" w:name="_Hlk160707526"/>
                        </w:p>
                        <w:bookmarkEnd w:id="21"/>
                        <w:p w14:paraId="76FC77A9" w14:textId="66568A44" w:rsidR="00B1308C" w:rsidRPr="00B1308C" w:rsidRDefault="005327C3" w:rsidP="00B1308C">
                          <w:pPr>
                            <w:spacing w:after="0" w:line="240" w:lineRule="auto"/>
                            <w:ind w:left="709" w:right="1390"/>
                            <w:jc w:val="center"/>
                            <w:rPr>
                              <w:color w:val="FFFFFF" w:themeColor="background1"/>
                              <w:sz w:val="20"/>
                              <w:lang w:val="en-AU"/>
                            </w:rPr>
                          </w:pPr>
                          <w:r>
                            <w:rPr>
                              <w:color w:val="FFFFFF" w:themeColor="background1"/>
                              <w:sz w:val="20"/>
                              <w:lang w:val="en-AU"/>
                            </w:rPr>
                            <w:t>Australia’s draft National Autism Strategy</w:t>
                          </w:r>
                        </w:p>
                        <w:p w14:paraId="044C21E7" w14:textId="31663AEA" w:rsidR="001831B7" w:rsidRDefault="00B1308C" w:rsidP="00B1308C">
                          <w:pPr>
                            <w:spacing w:after="0" w:line="240" w:lineRule="auto"/>
                            <w:ind w:left="709" w:right="1390"/>
                            <w:jc w:val="center"/>
                          </w:pPr>
                          <w:r w:rsidRPr="00B1308C">
                            <w:rPr>
                              <w:color w:val="FFFFFF" w:themeColor="background1"/>
                              <w:sz w:val="20"/>
                              <w:lang w:val="en-AU"/>
                            </w:rPr>
                            <w:t xml:space="preserve">Submission to the </w:t>
                          </w:r>
                          <w:r w:rsidR="005327C3">
                            <w:rPr>
                              <w:color w:val="FFFFFF" w:themeColor="background1"/>
                              <w:sz w:val="20"/>
                              <w:lang w:val="en-AU"/>
                            </w:rPr>
                            <w:t>Commonwealth Department of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8EB5" id="Rectangle 1" o:spid="_x0000_s1027" style="position:absolute;margin-left:0;margin-top:26.95pt;width:637.25pt;height:68.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bookmarkStart w:id="21" w:name="_Hlk160707526"/>
                  </w:p>
                  <w:bookmarkEnd w:id="21"/>
                  <w:p w14:paraId="76FC77A9" w14:textId="66568A44" w:rsidR="00B1308C" w:rsidRPr="00B1308C" w:rsidRDefault="005327C3" w:rsidP="00B1308C">
                    <w:pPr>
                      <w:spacing w:after="0" w:line="240" w:lineRule="auto"/>
                      <w:ind w:left="709" w:right="1390"/>
                      <w:jc w:val="center"/>
                      <w:rPr>
                        <w:color w:val="FFFFFF" w:themeColor="background1"/>
                        <w:sz w:val="20"/>
                        <w:lang w:val="en-AU"/>
                      </w:rPr>
                    </w:pPr>
                    <w:r>
                      <w:rPr>
                        <w:color w:val="FFFFFF" w:themeColor="background1"/>
                        <w:sz w:val="20"/>
                        <w:lang w:val="en-AU"/>
                      </w:rPr>
                      <w:t>Australia’s draft National Autism Strategy</w:t>
                    </w:r>
                  </w:p>
                  <w:p w14:paraId="044C21E7" w14:textId="31663AEA" w:rsidR="001831B7" w:rsidRDefault="00B1308C" w:rsidP="00B1308C">
                    <w:pPr>
                      <w:spacing w:after="0" w:line="240" w:lineRule="auto"/>
                      <w:ind w:left="709" w:right="1390"/>
                      <w:jc w:val="center"/>
                    </w:pPr>
                    <w:r w:rsidRPr="00B1308C">
                      <w:rPr>
                        <w:color w:val="FFFFFF" w:themeColor="background1"/>
                        <w:sz w:val="20"/>
                        <w:lang w:val="en-AU"/>
                      </w:rPr>
                      <w:t xml:space="preserve">Submission to the </w:t>
                    </w:r>
                    <w:r w:rsidR="005327C3">
                      <w:rPr>
                        <w:color w:val="FFFFFF" w:themeColor="background1"/>
                        <w:sz w:val="20"/>
                        <w:lang w:val="en-AU"/>
                      </w:rPr>
                      <w:t>Commonwealth Department of Social Services</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5AA17" w14:textId="77777777" w:rsidR="00CA213A" w:rsidRDefault="00CA213A">
      <w:pPr>
        <w:spacing w:after="0"/>
      </w:pPr>
      <w:r>
        <w:separator/>
      </w:r>
    </w:p>
  </w:footnote>
  <w:footnote w:type="continuationSeparator" w:id="0">
    <w:p w14:paraId="63130DDB" w14:textId="77777777" w:rsidR="00CA213A" w:rsidRDefault="00CA213A">
      <w:pPr>
        <w:spacing w:after="0"/>
      </w:pPr>
      <w:r>
        <w:continuationSeparator/>
      </w:r>
    </w:p>
  </w:footnote>
  <w:footnote w:type="continuationNotice" w:id="1">
    <w:p w14:paraId="50BA422E" w14:textId="77777777" w:rsidR="00CA213A" w:rsidRDefault="00CA21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8E8F0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E653D"/>
    <w:multiLevelType w:val="hybridMultilevel"/>
    <w:tmpl w:val="24DC6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507638"/>
    <w:multiLevelType w:val="hybridMultilevel"/>
    <w:tmpl w:val="43FA4B40"/>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B373B"/>
    <w:multiLevelType w:val="hybridMultilevel"/>
    <w:tmpl w:val="1D8A9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C2FF1"/>
    <w:multiLevelType w:val="hybridMultilevel"/>
    <w:tmpl w:val="F2E26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EA5A87"/>
    <w:multiLevelType w:val="hybridMultilevel"/>
    <w:tmpl w:val="53987D28"/>
    <w:lvl w:ilvl="0" w:tplc="F3409C1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8A710A"/>
    <w:multiLevelType w:val="hybridMultilevel"/>
    <w:tmpl w:val="B5B8E616"/>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C21522"/>
    <w:multiLevelType w:val="hybridMultilevel"/>
    <w:tmpl w:val="28F8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C3C28"/>
    <w:multiLevelType w:val="hybridMultilevel"/>
    <w:tmpl w:val="1046B378"/>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12CD8"/>
    <w:multiLevelType w:val="hybridMultilevel"/>
    <w:tmpl w:val="1938C2E8"/>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63B31"/>
    <w:multiLevelType w:val="hybridMultilevel"/>
    <w:tmpl w:val="3A0E84C6"/>
    <w:lvl w:ilvl="0" w:tplc="0C090003">
      <w:start w:val="1"/>
      <w:numFmt w:val="bullet"/>
      <w:lvlText w:val="o"/>
      <w:lvlJc w:val="left"/>
      <w:pPr>
        <w:ind w:left="1003" w:hanging="360"/>
      </w:pPr>
      <w:rPr>
        <w:rFonts w:ascii="Courier New" w:hAnsi="Courier New" w:cs="Courier New"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38E60581"/>
    <w:multiLevelType w:val="hybridMultilevel"/>
    <w:tmpl w:val="A38A9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22E6B"/>
    <w:multiLevelType w:val="hybridMultilevel"/>
    <w:tmpl w:val="D8667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C50808"/>
    <w:multiLevelType w:val="hybridMultilevel"/>
    <w:tmpl w:val="85CE9E86"/>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DE2B89"/>
    <w:multiLevelType w:val="hybridMultilevel"/>
    <w:tmpl w:val="BD44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51A5F"/>
    <w:multiLevelType w:val="hybridMultilevel"/>
    <w:tmpl w:val="B09E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D81781"/>
    <w:multiLevelType w:val="hybridMultilevel"/>
    <w:tmpl w:val="B06E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C064F8"/>
    <w:multiLevelType w:val="hybridMultilevel"/>
    <w:tmpl w:val="A574DC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B11100B"/>
    <w:multiLevelType w:val="hybridMultilevel"/>
    <w:tmpl w:val="A7FCEC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C55DEE"/>
    <w:multiLevelType w:val="multilevel"/>
    <w:tmpl w:val="751873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4DEA4993"/>
    <w:multiLevelType w:val="hybridMultilevel"/>
    <w:tmpl w:val="84A67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45278A"/>
    <w:multiLevelType w:val="hybridMultilevel"/>
    <w:tmpl w:val="04FC72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182375D"/>
    <w:multiLevelType w:val="hybridMultilevel"/>
    <w:tmpl w:val="57BE8220"/>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A36C13"/>
    <w:multiLevelType w:val="hybridMultilevel"/>
    <w:tmpl w:val="C97290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6D27B68"/>
    <w:multiLevelType w:val="hybridMultilevel"/>
    <w:tmpl w:val="1D3A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B6547"/>
    <w:multiLevelType w:val="hybridMultilevel"/>
    <w:tmpl w:val="ED5A4C56"/>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F61D8"/>
    <w:multiLevelType w:val="hybridMultilevel"/>
    <w:tmpl w:val="F1EC8B8E"/>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546A76"/>
    <w:multiLevelType w:val="hybridMultilevel"/>
    <w:tmpl w:val="16B68110"/>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480EE2"/>
    <w:multiLevelType w:val="hybridMultilevel"/>
    <w:tmpl w:val="009CDFD2"/>
    <w:lvl w:ilvl="0" w:tplc="3E665C32">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8910D2"/>
    <w:multiLevelType w:val="hybridMultilevel"/>
    <w:tmpl w:val="D9309112"/>
    <w:lvl w:ilvl="0" w:tplc="EC1C8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282DA3"/>
    <w:multiLevelType w:val="hybridMultilevel"/>
    <w:tmpl w:val="02B42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ED34221"/>
    <w:multiLevelType w:val="hybridMultilevel"/>
    <w:tmpl w:val="E65622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4204138">
    <w:abstractNumId w:val="31"/>
  </w:num>
  <w:num w:numId="2" w16cid:durableId="1513035402">
    <w:abstractNumId w:val="5"/>
  </w:num>
  <w:num w:numId="3" w16cid:durableId="567881044">
    <w:abstractNumId w:val="0"/>
  </w:num>
  <w:num w:numId="4" w16cid:durableId="721946942">
    <w:abstractNumId w:val="19"/>
  </w:num>
  <w:num w:numId="5" w16cid:durableId="450705134">
    <w:abstractNumId w:val="32"/>
  </w:num>
  <w:num w:numId="6" w16cid:durableId="1904414455">
    <w:abstractNumId w:val="15"/>
  </w:num>
  <w:num w:numId="7" w16cid:durableId="1034964206">
    <w:abstractNumId w:val="30"/>
  </w:num>
  <w:num w:numId="8" w16cid:durableId="48967315">
    <w:abstractNumId w:val="28"/>
  </w:num>
  <w:num w:numId="9" w16cid:durableId="2048405001">
    <w:abstractNumId w:val="20"/>
  </w:num>
  <w:num w:numId="10" w16cid:durableId="1813251579">
    <w:abstractNumId w:val="4"/>
  </w:num>
  <w:num w:numId="11" w16cid:durableId="1240869853">
    <w:abstractNumId w:val="1"/>
  </w:num>
  <w:num w:numId="12" w16cid:durableId="1501890041">
    <w:abstractNumId w:val="17"/>
  </w:num>
  <w:num w:numId="13" w16cid:durableId="9337846">
    <w:abstractNumId w:val="23"/>
  </w:num>
  <w:num w:numId="14" w16cid:durableId="521556191">
    <w:abstractNumId w:val="21"/>
  </w:num>
  <w:num w:numId="15" w16cid:durableId="1252399493">
    <w:abstractNumId w:val="10"/>
  </w:num>
  <w:num w:numId="16" w16cid:durableId="1372995783">
    <w:abstractNumId w:val="14"/>
  </w:num>
  <w:num w:numId="17" w16cid:durableId="680351283">
    <w:abstractNumId w:val="7"/>
  </w:num>
  <w:num w:numId="18" w16cid:durableId="477571284">
    <w:abstractNumId w:val="3"/>
  </w:num>
  <w:num w:numId="19" w16cid:durableId="1958028328">
    <w:abstractNumId w:val="18"/>
  </w:num>
  <w:num w:numId="20" w16cid:durableId="1375931320">
    <w:abstractNumId w:val="12"/>
  </w:num>
  <w:num w:numId="21" w16cid:durableId="1331173896">
    <w:abstractNumId w:val="24"/>
  </w:num>
  <w:num w:numId="22" w16cid:durableId="431438683">
    <w:abstractNumId w:val="16"/>
  </w:num>
  <w:num w:numId="23" w16cid:durableId="806705989">
    <w:abstractNumId w:val="11"/>
  </w:num>
  <w:num w:numId="24" w16cid:durableId="1730492495">
    <w:abstractNumId w:val="25"/>
  </w:num>
  <w:num w:numId="25" w16cid:durableId="1242636242">
    <w:abstractNumId w:val="26"/>
  </w:num>
  <w:num w:numId="26" w16cid:durableId="865681496">
    <w:abstractNumId w:val="9"/>
  </w:num>
  <w:num w:numId="27" w16cid:durableId="2028173417">
    <w:abstractNumId w:val="8"/>
  </w:num>
  <w:num w:numId="28" w16cid:durableId="643703747">
    <w:abstractNumId w:val="6"/>
  </w:num>
  <w:num w:numId="29" w16cid:durableId="352195608">
    <w:abstractNumId w:val="2"/>
  </w:num>
  <w:num w:numId="30" w16cid:durableId="1255020537">
    <w:abstractNumId w:val="22"/>
  </w:num>
  <w:num w:numId="31" w16cid:durableId="2039314416">
    <w:abstractNumId w:val="29"/>
  </w:num>
  <w:num w:numId="32" w16cid:durableId="691305718">
    <w:abstractNumId w:val="13"/>
  </w:num>
  <w:num w:numId="33" w16cid:durableId="170173588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SortMethod w:val="0000"/>
  <w:defaultTabStop w:val="720"/>
  <w:characterSpacingControl w:val="doNotCompress"/>
  <w:hdrShapeDefaults>
    <o:shapedefaults v:ext="edit" spidmax="2050">
      <o:colormru v:ext="edit" colors="#af168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2MLM0MLcwMjMwNTFU0lEKTi0uzszPAykwMa8FAAlrqA0tAAAA"/>
  </w:docVars>
  <w:rsids>
    <w:rsidRoot w:val="00990CB1"/>
    <w:rsid w:val="00002CD0"/>
    <w:rsid w:val="0001024A"/>
    <w:rsid w:val="00015051"/>
    <w:rsid w:val="000159FA"/>
    <w:rsid w:val="00016F40"/>
    <w:rsid w:val="00021DCB"/>
    <w:rsid w:val="00032DA0"/>
    <w:rsid w:val="0003483B"/>
    <w:rsid w:val="00035CC5"/>
    <w:rsid w:val="00036E5C"/>
    <w:rsid w:val="00037048"/>
    <w:rsid w:val="000413D5"/>
    <w:rsid w:val="00041B05"/>
    <w:rsid w:val="0004409F"/>
    <w:rsid w:val="000442E2"/>
    <w:rsid w:val="00045D81"/>
    <w:rsid w:val="00045F44"/>
    <w:rsid w:val="00046FA0"/>
    <w:rsid w:val="00054CC9"/>
    <w:rsid w:val="00065B48"/>
    <w:rsid w:val="000712AF"/>
    <w:rsid w:val="00076AB8"/>
    <w:rsid w:val="00082A21"/>
    <w:rsid w:val="000A3E5E"/>
    <w:rsid w:val="000B3F1C"/>
    <w:rsid w:val="000B6263"/>
    <w:rsid w:val="000D531D"/>
    <w:rsid w:val="000E1212"/>
    <w:rsid w:val="000E625C"/>
    <w:rsid w:val="000F0758"/>
    <w:rsid w:val="000F270D"/>
    <w:rsid w:val="000F2AC3"/>
    <w:rsid w:val="000F620B"/>
    <w:rsid w:val="000F63C5"/>
    <w:rsid w:val="000F7E41"/>
    <w:rsid w:val="00106800"/>
    <w:rsid w:val="001068A9"/>
    <w:rsid w:val="001100CE"/>
    <w:rsid w:val="00110A2F"/>
    <w:rsid w:val="00114BA3"/>
    <w:rsid w:val="00122E40"/>
    <w:rsid w:val="001300A6"/>
    <w:rsid w:val="001339BA"/>
    <w:rsid w:val="00135C72"/>
    <w:rsid w:val="001408F4"/>
    <w:rsid w:val="00141C27"/>
    <w:rsid w:val="001437BF"/>
    <w:rsid w:val="001458F0"/>
    <w:rsid w:val="00145EC0"/>
    <w:rsid w:val="00147620"/>
    <w:rsid w:val="0015040C"/>
    <w:rsid w:val="001576C4"/>
    <w:rsid w:val="001604DC"/>
    <w:rsid w:val="00160F24"/>
    <w:rsid w:val="00162198"/>
    <w:rsid w:val="00162A08"/>
    <w:rsid w:val="001831B7"/>
    <w:rsid w:val="00193F44"/>
    <w:rsid w:val="00197C56"/>
    <w:rsid w:val="001B3AAC"/>
    <w:rsid w:val="001B5D76"/>
    <w:rsid w:val="001D0459"/>
    <w:rsid w:val="001D086A"/>
    <w:rsid w:val="001D3719"/>
    <w:rsid w:val="001D52E8"/>
    <w:rsid w:val="001E646B"/>
    <w:rsid w:val="001F00C2"/>
    <w:rsid w:val="001F3FA6"/>
    <w:rsid w:val="001F659E"/>
    <w:rsid w:val="001F724F"/>
    <w:rsid w:val="00202E01"/>
    <w:rsid w:val="00204DD7"/>
    <w:rsid w:val="002106C0"/>
    <w:rsid w:val="00211D62"/>
    <w:rsid w:val="00217507"/>
    <w:rsid w:val="00220108"/>
    <w:rsid w:val="00223257"/>
    <w:rsid w:val="00225B27"/>
    <w:rsid w:val="00226898"/>
    <w:rsid w:val="00227C22"/>
    <w:rsid w:val="00230112"/>
    <w:rsid w:val="00234C33"/>
    <w:rsid w:val="00234D0F"/>
    <w:rsid w:val="00236042"/>
    <w:rsid w:val="00237EFA"/>
    <w:rsid w:val="00260E16"/>
    <w:rsid w:val="002675D2"/>
    <w:rsid w:val="002726A0"/>
    <w:rsid w:val="00280A5F"/>
    <w:rsid w:val="00282FE7"/>
    <w:rsid w:val="002950C2"/>
    <w:rsid w:val="00295C1F"/>
    <w:rsid w:val="002966E8"/>
    <w:rsid w:val="0029727D"/>
    <w:rsid w:val="002A07D0"/>
    <w:rsid w:val="002A542E"/>
    <w:rsid w:val="002A6B3B"/>
    <w:rsid w:val="002A789C"/>
    <w:rsid w:val="002B2981"/>
    <w:rsid w:val="002B5378"/>
    <w:rsid w:val="002B7975"/>
    <w:rsid w:val="002B7F5C"/>
    <w:rsid w:val="002C7AFB"/>
    <w:rsid w:val="002D5BA4"/>
    <w:rsid w:val="002E1922"/>
    <w:rsid w:val="002E44C0"/>
    <w:rsid w:val="002E558B"/>
    <w:rsid w:val="002E63E3"/>
    <w:rsid w:val="002F009B"/>
    <w:rsid w:val="002F0797"/>
    <w:rsid w:val="002F2235"/>
    <w:rsid w:val="003001F0"/>
    <w:rsid w:val="00300B46"/>
    <w:rsid w:val="00304702"/>
    <w:rsid w:val="00304B05"/>
    <w:rsid w:val="00316E96"/>
    <w:rsid w:val="003246A8"/>
    <w:rsid w:val="00327AE6"/>
    <w:rsid w:val="003331FE"/>
    <w:rsid w:val="003354EC"/>
    <w:rsid w:val="003365FD"/>
    <w:rsid w:val="00336709"/>
    <w:rsid w:val="003409F3"/>
    <w:rsid w:val="00357318"/>
    <w:rsid w:val="003615B6"/>
    <w:rsid w:val="0036167E"/>
    <w:rsid w:val="0036251D"/>
    <w:rsid w:val="00362890"/>
    <w:rsid w:val="00362DD8"/>
    <w:rsid w:val="003641CE"/>
    <w:rsid w:val="00370AFA"/>
    <w:rsid w:val="0037208D"/>
    <w:rsid w:val="0038046D"/>
    <w:rsid w:val="00386983"/>
    <w:rsid w:val="003903C6"/>
    <w:rsid w:val="00390A5D"/>
    <w:rsid w:val="00397B9E"/>
    <w:rsid w:val="003A0686"/>
    <w:rsid w:val="003A13C7"/>
    <w:rsid w:val="003A4CDB"/>
    <w:rsid w:val="003A4D29"/>
    <w:rsid w:val="003A7845"/>
    <w:rsid w:val="003B3667"/>
    <w:rsid w:val="003C0C89"/>
    <w:rsid w:val="003C1A75"/>
    <w:rsid w:val="003C3E14"/>
    <w:rsid w:val="003C4DF8"/>
    <w:rsid w:val="003C5F51"/>
    <w:rsid w:val="003D0011"/>
    <w:rsid w:val="003D4044"/>
    <w:rsid w:val="003E330D"/>
    <w:rsid w:val="003E48DF"/>
    <w:rsid w:val="003E7F6E"/>
    <w:rsid w:val="00417C15"/>
    <w:rsid w:val="00424A0A"/>
    <w:rsid w:val="00431A90"/>
    <w:rsid w:val="00437327"/>
    <w:rsid w:val="00437EE5"/>
    <w:rsid w:val="00444ACE"/>
    <w:rsid w:val="00445F89"/>
    <w:rsid w:val="004512BE"/>
    <w:rsid w:val="00460436"/>
    <w:rsid w:val="00460D00"/>
    <w:rsid w:val="00462386"/>
    <w:rsid w:val="00466746"/>
    <w:rsid w:val="00466F51"/>
    <w:rsid w:val="004747C5"/>
    <w:rsid w:val="00475F88"/>
    <w:rsid w:val="00476254"/>
    <w:rsid w:val="00486743"/>
    <w:rsid w:val="004878C7"/>
    <w:rsid w:val="004A2878"/>
    <w:rsid w:val="004B2569"/>
    <w:rsid w:val="004B2DC1"/>
    <w:rsid w:val="004B3D3F"/>
    <w:rsid w:val="004B420D"/>
    <w:rsid w:val="004C1C90"/>
    <w:rsid w:val="004C1EB1"/>
    <w:rsid w:val="004C223F"/>
    <w:rsid w:val="004C2D30"/>
    <w:rsid w:val="004D12E9"/>
    <w:rsid w:val="004D4427"/>
    <w:rsid w:val="004D6D08"/>
    <w:rsid w:val="004E4D5A"/>
    <w:rsid w:val="004F6786"/>
    <w:rsid w:val="00523362"/>
    <w:rsid w:val="0052531C"/>
    <w:rsid w:val="005327C3"/>
    <w:rsid w:val="0053527D"/>
    <w:rsid w:val="0054099A"/>
    <w:rsid w:val="005660B0"/>
    <w:rsid w:val="00572966"/>
    <w:rsid w:val="00573311"/>
    <w:rsid w:val="00584BBB"/>
    <w:rsid w:val="00587049"/>
    <w:rsid w:val="0059026A"/>
    <w:rsid w:val="00592BFE"/>
    <w:rsid w:val="00592D42"/>
    <w:rsid w:val="005971BA"/>
    <w:rsid w:val="005A06DC"/>
    <w:rsid w:val="005B06C9"/>
    <w:rsid w:val="005C28F2"/>
    <w:rsid w:val="005C3314"/>
    <w:rsid w:val="005C650E"/>
    <w:rsid w:val="005C6C3C"/>
    <w:rsid w:val="005D1E2A"/>
    <w:rsid w:val="005D43EF"/>
    <w:rsid w:val="005E1818"/>
    <w:rsid w:val="005E3D2C"/>
    <w:rsid w:val="005E5911"/>
    <w:rsid w:val="005E6A37"/>
    <w:rsid w:val="005F195C"/>
    <w:rsid w:val="005F3E74"/>
    <w:rsid w:val="005F6569"/>
    <w:rsid w:val="005F686E"/>
    <w:rsid w:val="005F7B02"/>
    <w:rsid w:val="00606FB5"/>
    <w:rsid w:val="00607D1E"/>
    <w:rsid w:val="00611033"/>
    <w:rsid w:val="00613A41"/>
    <w:rsid w:val="00620518"/>
    <w:rsid w:val="00622FDE"/>
    <w:rsid w:val="00624E91"/>
    <w:rsid w:val="006259F7"/>
    <w:rsid w:val="00625F1D"/>
    <w:rsid w:val="00631B7B"/>
    <w:rsid w:val="006334A0"/>
    <w:rsid w:val="0064578C"/>
    <w:rsid w:val="006462CC"/>
    <w:rsid w:val="00646406"/>
    <w:rsid w:val="00651905"/>
    <w:rsid w:val="00661198"/>
    <w:rsid w:val="0066764B"/>
    <w:rsid w:val="0068160D"/>
    <w:rsid w:val="00683FF2"/>
    <w:rsid w:val="00684792"/>
    <w:rsid w:val="00686B95"/>
    <w:rsid w:val="006926E4"/>
    <w:rsid w:val="0069363D"/>
    <w:rsid w:val="00693F49"/>
    <w:rsid w:val="006A7ACE"/>
    <w:rsid w:val="006B277B"/>
    <w:rsid w:val="006B720D"/>
    <w:rsid w:val="006B7B0E"/>
    <w:rsid w:val="006C71EE"/>
    <w:rsid w:val="006D6D77"/>
    <w:rsid w:val="006E6895"/>
    <w:rsid w:val="006F4CAC"/>
    <w:rsid w:val="006F74C3"/>
    <w:rsid w:val="00701604"/>
    <w:rsid w:val="0070296C"/>
    <w:rsid w:val="00710761"/>
    <w:rsid w:val="00711789"/>
    <w:rsid w:val="0071328C"/>
    <w:rsid w:val="007145F0"/>
    <w:rsid w:val="00715FCE"/>
    <w:rsid w:val="007162B7"/>
    <w:rsid w:val="00723C6F"/>
    <w:rsid w:val="00726F5A"/>
    <w:rsid w:val="007278E3"/>
    <w:rsid w:val="007409EF"/>
    <w:rsid w:val="00741858"/>
    <w:rsid w:val="00747C7D"/>
    <w:rsid w:val="00756A43"/>
    <w:rsid w:val="00760D64"/>
    <w:rsid w:val="00764642"/>
    <w:rsid w:val="00764A76"/>
    <w:rsid w:val="00767375"/>
    <w:rsid w:val="0077394C"/>
    <w:rsid w:val="00775C25"/>
    <w:rsid w:val="00784684"/>
    <w:rsid w:val="00794803"/>
    <w:rsid w:val="007A1CC9"/>
    <w:rsid w:val="007A3D78"/>
    <w:rsid w:val="007A44BB"/>
    <w:rsid w:val="007A5C6E"/>
    <w:rsid w:val="007A778A"/>
    <w:rsid w:val="007B00D1"/>
    <w:rsid w:val="007B142B"/>
    <w:rsid w:val="007B3C84"/>
    <w:rsid w:val="007B7CEF"/>
    <w:rsid w:val="007D1263"/>
    <w:rsid w:val="007D60AD"/>
    <w:rsid w:val="007E12FC"/>
    <w:rsid w:val="007E4644"/>
    <w:rsid w:val="007F4018"/>
    <w:rsid w:val="007F7E5C"/>
    <w:rsid w:val="008016F4"/>
    <w:rsid w:val="00802B27"/>
    <w:rsid w:val="0081028E"/>
    <w:rsid w:val="00816C77"/>
    <w:rsid w:val="00816F20"/>
    <w:rsid w:val="00825715"/>
    <w:rsid w:val="008278AF"/>
    <w:rsid w:val="00831036"/>
    <w:rsid w:val="00843AD5"/>
    <w:rsid w:val="00851A9F"/>
    <w:rsid w:val="008555F8"/>
    <w:rsid w:val="00856F3F"/>
    <w:rsid w:val="00865078"/>
    <w:rsid w:val="00865289"/>
    <w:rsid w:val="00871F59"/>
    <w:rsid w:val="00880FFB"/>
    <w:rsid w:val="00881553"/>
    <w:rsid w:val="00882D1D"/>
    <w:rsid w:val="008841A6"/>
    <w:rsid w:val="008856EF"/>
    <w:rsid w:val="00891E3B"/>
    <w:rsid w:val="00896831"/>
    <w:rsid w:val="008A135E"/>
    <w:rsid w:val="008A13FE"/>
    <w:rsid w:val="008A3175"/>
    <w:rsid w:val="008A375F"/>
    <w:rsid w:val="008A4AF0"/>
    <w:rsid w:val="008B0405"/>
    <w:rsid w:val="008B299D"/>
    <w:rsid w:val="008B4E32"/>
    <w:rsid w:val="008B6B64"/>
    <w:rsid w:val="008C21BB"/>
    <w:rsid w:val="008C587D"/>
    <w:rsid w:val="008D23FF"/>
    <w:rsid w:val="008D73BD"/>
    <w:rsid w:val="008E3C95"/>
    <w:rsid w:val="008E4649"/>
    <w:rsid w:val="008E4DA1"/>
    <w:rsid w:val="008E5E50"/>
    <w:rsid w:val="008F4BD2"/>
    <w:rsid w:val="008F4ECB"/>
    <w:rsid w:val="00913BED"/>
    <w:rsid w:val="009224AC"/>
    <w:rsid w:val="009336E5"/>
    <w:rsid w:val="00936C7A"/>
    <w:rsid w:val="00937B5E"/>
    <w:rsid w:val="00940D30"/>
    <w:rsid w:val="0094114F"/>
    <w:rsid w:val="00942A9F"/>
    <w:rsid w:val="00953487"/>
    <w:rsid w:val="00971F6E"/>
    <w:rsid w:val="00972C9D"/>
    <w:rsid w:val="0097450C"/>
    <w:rsid w:val="00974709"/>
    <w:rsid w:val="00974A67"/>
    <w:rsid w:val="00987378"/>
    <w:rsid w:val="00987564"/>
    <w:rsid w:val="00987A57"/>
    <w:rsid w:val="00990CB1"/>
    <w:rsid w:val="0099374D"/>
    <w:rsid w:val="00997FAA"/>
    <w:rsid w:val="009A3C02"/>
    <w:rsid w:val="009A682F"/>
    <w:rsid w:val="009B0BD9"/>
    <w:rsid w:val="009C3498"/>
    <w:rsid w:val="009D1990"/>
    <w:rsid w:val="009D3427"/>
    <w:rsid w:val="009D458E"/>
    <w:rsid w:val="009D6818"/>
    <w:rsid w:val="009E28C7"/>
    <w:rsid w:val="009E3FC6"/>
    <w:rsid w:val="009F1A6D"/>
    <w:rsid w:val="009F5BFA"/>
    <w:rsid w:val="009F688B"/>
    <w:rsid w:val="009F6A9C"/>
    <w:rsid w:val="00A04058"/>
    <w:rsid w:val="00A066EA"/>
    <w:rsid w:val="00A07205"/>
    <w:rsid w:val="00A1093C"/>
    <w:rsid w:val="00A11975"/>
    <w:rsid w:val="00A15880"/>
    <w:rsid w:val="00A16D64"/>
    <w:rsid w:val="00A17792"/>
    <w:rsid w:val="00A25395"/>
    <w:rsid w:val="00A268C0"/>
    <w:rsid w:val="00A2736D"/>
    <w:rsid w:val="00A32743"/>
    <w:rsid w:val="00A343B6"/>
    <w:rsid w:val="00A42210"/>
    <w:rsid w:val="00A429DC"/>
    <w:rsid w:val="00A42ABF"/>
    <w:rsid w:val="00A501AF"/>
    <w:rsid w:val="00A54883"/>
    <w:rsid w:val="00A60E07"/>
    <w:rsid w:val="00A62303"/>
    <w:rsid w:val="00A6593A"/>
    <w:rsid w:val="00A66A22"/>
    <w:rsid w:val="00A67D1A"/>
    <w:rsid w:val="00A75BEC"/>
    <w:rsid w:val="00A8162F"/>
    <w:rsid w:val="00A81922"/>
    <w:rsid w:val="00A846F6"/>
    <w:rsid w:val="00A877DA"/>
    <w:rsid w:val="00A909F3"/>
    <w:rsid w:val="00A94BD3"/>
    <w:rsid w:val="00A94DCF"/>
    <w:rsid w:val="00A96936"/>
    <w:rsid w:val="00A975D6"/>
    <w:rsid w:val="00AA0766"/>
    <w:rsid w:val="00AA59DD"/>
    <w:rsid w:val="00AB40EE"/>
    <w:rsid w:val="00AB42EC"/>
    <w:rsid w:val="00AB48ED"/>
    <w:rsid w:val="00AB5716"/>
    <w:rsid w:val="00AB7085"/>
    <w:rsid w:val="00AC5CA2"/>
    <w:rsid w:val="00AD6850"/>
    <w:rsid w:val="00AE08F7"/>
    <w:rsid w:val="00AE312F"/>
    <w:rsid w:val="00AE32DD"/>
    <w:rsid w:val="00AF1C51"/>
    <w:rsid w:val="00AF316B"/>
    <w:rsid w:val="00AF5C51"/>
    <w:rsid w:val="00B0001B"/>
    <w:rsid w:val="00B0470D"/>
    <w:rsid w:val="00B0479B"/>
    <w:rsid w:val="00B1308C"/>
    <w:rsid w:val="00B20D67"/>
    <w:rsid w:val="00B32134"/>
    <w:rsid w:val="00B365B6"/>
    <w:rsid w:val="00B37D8F"/>
    <w:rsid w:val="00B40D63"/>
    <w:rsid w:val="00B414CD"/>
    <w:rsid w:val="00B421C3"/>
    <w:rsid w:val="00B42608"/>
    <w:rsid w:val="00B43E88"/>
    <w:rsid w:val="00B44ECE"/>
    <w:rsid w:val="00B4673C"/>
    <w:rsid w:val="00B50355"/>
    <w:rsid w:val="00B51EF6"/>
    <w:rsid w:val="00B57629"/>
    <w:rsid w:val="00B57BBC"/>
    <w:rsid w:val="00B63418"/>
    <w:rsid w:val="00B63D8E"/>
    <w:rsid w:val="00B70353"/>
    <w:rsid w:val="00B71288"/>
    <w:rsid w:val="00B73687"/>
    <w:rsid w:val="00B74542"/>
    <w:rsid w:val="00B76304"/>
    <w:rsid w:val="00B82E96"/>
    <w:rsid w:val="00B84152"/>
    <w:rsid w:val="00B9107A"/>
    <w:rsid w:val="00B91CD5"/>
    <w:rsid w:val="00B971BE"/>
    <w:rsid w:val="00B978F3"/>
    <w:rsid w:val="00BA1AF8"/>
    <w:rsid w:val="00BA64AA"/>
    <w:rsid w:val="00BA711E"/>
    <w:rsid w:val="00BA72B2"/>
    <w:rsid w:val="00BB224D"/>
    <w:rsid w:val="00BB3BA8"/>
    <w:rsid w:val="00BB5AA0"/>
    <w:rsid w:val="00BB78E0"/>
    <w:rsid w:val="00BC1FEA"/>
    <w:rsid w:val="00BC50A9"/>
    <w:rsid w:val="00BC5FA9"/>
    <w:rsid w:val="00BC7718"/>
    <w:rsid w:val="00BD723F"/>
    <w:rsid w:val="00BE48DE"/>
    <w:rsid w:val="00BE5F42"/>
    <w:rsid w:val="00BE72F2"/>
    <w:rsid w:val="00BE7307"/>
    <w:rsid w:val="00BF30C0"/>
    <w:rsid w:val="00BF4A61"/>
    <w:rsid w:val="00BF650A"/>
    <w:rsid w:val="00C00B1A"/>
    <w:rsid w:val="00C010FD"/>
    <w:rsid w:val="00C03EE9"/>
    <w:rsid w:val="00C104F1"/>
    <w:rsid w:val="00C1246A"/>
    <w:rsid w:val="00C1534A"/>
    <w:rsid w:val="00C200DB"/>
    <w:rsid w:val="00C26289"/>
    <w:rsid w:val="00C276D0"/>
    <w:rsid w:val="00C34B64"/>
    <w:rsid w:val="00C351B5"/>
    <w:rsid w:val="00C3719B"/>
    <w:rsid w:val="00C4165C"/>
    <w:rsid w:val="00C47FF0"/>
    <w:rsid w:val="00C5239F"/>
    <w:rsid w:val="00C56890"/>
    <w:rsid w:val="00C62CC4"/>
    <w:rsid w:val="00C66313"/>
    <w:rsid w:val="00C7033E"/>
    <w:rsid w:val="00C71E4C"/>
    <w:rsid w:val="00C84542"/>
    <w:rsid w:val="00C90CA2"/>
    <w:rsid w:val="00CA1C4C"/>
    <w:rsid w:val="00CA213A"/>
    <w:rsid w:val="00CA5BD9"/>
    <w:rsid w:val="00CB0445"/>
    <w:rsid w:val="00CB7B73"/>
    <w:rsid w:val="00CC4314"/>
    <w:rsid w:val="00CC61D5"/>
    <w:rsid w:val="00CC74E2"/>
    <w:rsid w:val="00CC7E80"/>
    <w:rsid w:val="00CD136A"/>
    <w:rsid w:val="00CD6AA1"/>
    <w:rsid w:val="00CF1397"/>
    <w:rsid w:val="00CF4F14"/>
    <w:rsid w:val="00CF603B"/>
    <w:rsid w:val="00CF7D55"/>
    <w:rsid w:val="00D1259C"/>
    <w:rsid w:val="00D15395"/>
    <w:rsid w:val="00D176B4"/>
    <w:rsid w:val="00D17BD7"/>
    <w:rsid w:val="00D17E19"/>
    <w:rsid w:val="00D2126D"/>
    <w:rsid w:val="00D21FC4"/>
    <w:rsid w:val="00D24F54"/>
    <w:rsid w:val="00D32DEB"/>
    <w:rsid w:val="00D339E2"/>
    <w:rsid w:val="00D4396B"/>
    <w:rsid w:val="00D50608"/>
    <w:rsid w:val="00D5190D"/>
    <w:rsid w:val="00D52945"/>
    <w:rsid w:val="00D55392"/>
    <w:rsid w:val="00D60F01"/>
    <w:rsid w:val="00D61551"/>
    <w:rsid w:val="00D629BF"/>
    <w:rsid w:val="00D62EB6"/>
    <w:rsid w:val="00D71E35"/>
    <w:rsid w:val="00D74285"/>
    <w:rsid w:val="00D75B65"/>
    <w:rsid w:val="00D8326E"/>
    <w:rsid w:val="00D840E6"/>
    <w:rsid w:val="00D90348"/>
    <w:rsid w:val="00D9243E"/>
    <w:rsid w:val="00D968D1"/>
    <w:rsid w:val="00DA118C"/>
    <w:rsid w:val="00DA6023"/>
    <w:rsid w:val="00DB25A1"/>
    <w:rsid w:val="00DB6EDD"/>
    <w:rsid w:val="00DB7565"/>
    <w:rsid w:val="00DC31A2"/>
    <w:rsid w:val="00DC3DDD"/>
    <w:rsid w:val="00DC4AFE"/>
    <w:rsid w:val="00DC5A00"/>
    <w:rsid w:val="00DC78B8"/>
    <w:rsid w:val="00DD260A"/>
    <w:rsid w:val="00DD5D72"/>
    <w:rsid w:val="00DD7555"/>
    <w:rsid w:val="00DE4E25"/>
    <w:rsid w:val="00DE4F3D"/>
    <w:rsid w:val="00DF2F75"/>
    <w:rsid w:val="00E00AF5"/>
    <w:rsid w:val="00E103AB"/>
    <w:rsid w:val="00E12333"/>
    <w:rsid w:val="00E13A01"/>
    <w:rsid w:val="00E15224"/>
    <w:rsid w:val="00E16354"/>
    <w:rsid w:val="00E211D7"/>
    <w:rsid w:val="00E22000"/>
    <w:rsid w:val="00E254F2"/>
    <w:rsid w:val="00E276A6"/>
    <w:rsid w:val="00E27F7F"/>
    <w:rsid w:val="00E27FFD"/>
    <w:rsid w:val="00E348A8"/>
    <w:rsid w:val="00E37C2E"/>
    <w:rsid w:val="00E40371"/>
    <w:rsid w:val="00E412A7"/>
    <w:rsid w:val="00E475DB"/>
    <w:rsid w:val="00E47779"/>
    <w:rsid w:val="00E5173D"/>
    <w:rsid w:val="00E56025"/>
    <w:rsid w:val="00E63A37"/>
    <w:rsid w:val="00E6536F"/>
    <w:rsid w:val="00E658B5"/>
    <w:rsid w:val="00E65E63"/>
    <w:rsid w:val="00E7204A"/>
    <w:rsid w:val="00E75882"/>
    <w:rsid w:val="00E839BF"/>
    <w:rsid w:val="00E9158E"/>
    <w:rsid w:val="00E94E8F"/>
    <w:rsid w:val="00E95952"/>
    <w:rsid w:val="00E960A4"/>
    <w:rsid w:val="00E97BB6"/>
    <w:rsid w:val="00EA0288"/>
    <w:rsid w:val="00EA4FB9"/>
    <w:rsid w:val="00EA7BCC"/>
    <w:rsid w:val="00EB2276"/>
    <w:rsid w:val="00EC159E"/>
    <w:rsid w:val="00EC1791"/>
    <w:rsid w:val="00EC1E5C"/>
    <w:rsid w:val="00EC52FA"/>
    <w:rsid w:val="00EC7D01"/>
    <w:rsid w:val="00EE0521"/>
    <w:rsid w:val="00EE3D3C"/>
    <w:rsid w:val="00EE6A4E"/>
    <w:rsid w:val="00F12953"/>
    <w:rsid w:val="00F21186"/>
    <w:rsid w:val="00F21EA4"/>
    <w:rsid w:val="00F23C52"/>
    <w:rsid w:val="00F25883"/>
    <w:rsid w:val="00F26DC5"/>
    <w:rsid w:val="00F34864"/>
    <w:rsid w:val="00F34CB7"/>
    <w:rsid w:val="00F46D6B"/>
    <w:rsid w:val="00F505CD"/>
    <w:rsid w:val="00F54F37"/>
    <w:rsid w:val="00F61A95"/>
    <w:rsid w:val="00F730FD"/>
    <w:rsid w:val="00F7541F"/>
    <w:rsid w:val="00F93456"/>
    <w:rsid w:val="00FA1850"/>
    <w:rsid w:val="00FA18C3"/>
    <w:rsid w:val="00FA23A0"/>
    <w:rsid w:val="00FA23C9"/>
    <w:rsid w:val="00FB1050"/>
    <w:rsid w:val="00FB345B"/>
    <w:rsid w:val="00FB63A7"/>
    <w:rsid w:val="00FB7EA6"/>
    <w:rsid w:val="00FC76C1"/>
    <w:rsid w:val="00FC78BD"/>
    <w:rsid w:val="00FD04E6"/>
    <w:rsid w:val="00FD3DC0"/>
    <w:rsid w:val="00FD497A"/>
    <w:rsid w:val="219E6E06"/>
    <w:rsid w:val="455270E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f1685"/>
    </o:shapedefaults>
    <o:shapelayout v:ext="edit">
      <o:idmap v:ext="edit" data="2"/>
    </o:shapelayout>
  </w:shapeDefaults>
  <w:decimalSymbol w:val="."/>
  <w:listSeparator w:val=","/>
  <w14:docId w14:val="5591B5F7"/>
  <w15:docId w15:val="{D3FB95D8-A05D-4EE5-B4A1-BE29B88D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327"/>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437327"/>
    <w:pPr>
      <w:keepNext/>
      <w:keepLines/>
      <w:spacing w:after="200" w:line="276" w:lineRule="auto"/>
      <w:ind w:left="360" w:hanging="360"/>
      <w:outlineLvl w:val="2"/>
    </w:pPr>
    <w:rPr>
      <w:rFonts w:ascii="Arial" w:eastAsia="Calibri" w:hAnsi="Arial"/>
      <w:b/>
      <w:bCs/>
      <w:sz w:val="28"/>
      <w:szCs w:val="32"/>
      <w:lang w:val="en" w:eastAsia="zh-CN"/>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437327"/>
    <w:rPr>
      <w:rFonts w:ascii="Arial" w:eastAsia="Calibri" w:hAnsi="Arial"/>
      <w:b/>
      <w:bCs/>
      <w:sz w:val="28"/>
      <w:szCs w:val="32"/>
      <w:lang w:val="en" w:eastAsia="zh-CN"/>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customStyle="1" w:styleId="paragraph">
    <w:name w:val="paragraph"/>
    <w:basedOn w:val="Normal"/>
    <w:rsid w:val="007B142B"/>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normaltextrun">
    <w:name w:val="normaltextrun"/>
    <w:basedOn w:val="DefaultParagraphFont"/>
    <w:rsid w:val="00B91CD5"/>
  </w:style>
  <w:style w:type="character" w:customStyle="1" w:styleId="eop">
    <w:name w:val="eop"/>
    <w:basedOn w:val="DefaultParagraphFont"/>
    <w:rsid w:val="00B91CD5"/>
  </w:style>
  <w:style w:type="paragraph" w:styleId="ListBullet">
    <w:name w:val="List Bullet"/>
    <w:basedOn w:val="Normal"/>
    <w:uiPriority w:val="99"/>
    <w:unhideWhenUsed/>
    <w:rsid w:val="00BC1FEA"/>
    <w:pPr>
      <w:numPr>
        <w:numId w:val="3"/>
      </w:numPr>
      <w:contextualSpacing/>
    </w:pPr>
  </w:style>
  <w:style w:type="character" w:styleId="UnresolvedMention">
    <w:name w:val="Unresolved Mention"/>
    <w:basedOn w:val="DefaultParagraphFont"/>
    <w:uiPriority w:val="99"/>
    <w:semiHidden/>
    <w:unhideWhenUsed/>
    <w:rsid w:val="00DC78B8"/>
    <w:rPr>
      <w:color w:val="605E5C"/>
      <w:shd w:val="clear" w:color="auto" w:fill="E1DFDD"/>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34"/>
    <w:qFormat/>
    <w:rsid w:val="00460D00"/>
    <w:rPr>
      <w:rFonts w:ascii="Arial" w:eastAsiaTheme="minorHAnsi" w:hAnsi="Arial" w:cstheme="minorBidi"/>
      <w:kern w:val="24"/>
      <w:sz w:val="24"/>
      <w:szCs w:val="24"/>
      <w:lang w:eastAsia="en-US"/>
    </w:rPr>
  </w:style>
  <w:style w:type="paragraph" w:customStyle="1" w:styleId="paragraphsub">
    <w:name w:val="paragraphsub"/>
    <w:basedOn w:val="Normal"/>
    <w:rsid w:val="00460D00"/>
    <w:pPr>
      <w:spacing w:before="100" w:beforeAutospacing="1" w:after="100" w:afterAutospacing="1" w:line="240" w:lineRule="auto"/>
    </w:pPr>
    <w:rPr>
      <w:rFonts w:ascii="Times New Roman" w:eastAsia="Times New Roman" w:hAnsi="Times New Roman"/>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990360710">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www.afdo.org.au/wp-content/uploads/2024/04/AFDO-Briefing-Paper-Access-Equity-to-Supports-Older-PWD-Final-March-2024.docx" TargetMode="External"/><Relationship Id="rId3" Type="http://schemas.openxmlformats.org/officeDocument/2006/relationships/customXml" Target="../customXml/item3.xml"/><Relationship Id="rId21" Type="http://schemas.openxmlformats.org/officeDocument/2006/relationships/hyperlink" Target="https://www.afdo.org.au/wp-content/uploads/2024/05/2024_05-AFDO-Response-to-the-NDIS-Review-Report-May-2024-Final.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5.austlii.edu.au/au/legis/cth/consol_act/ndisa2013341/s22.htm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afdo.org.au/wp-content/uploads/2023/12/AFDO-Report-Card-on-the-Final-Recommendations-from-the-DRC-December-202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fdo.org.au/wp-content/uploads/2024/04/AFDO-Policy-Position-Statement-Australias-Disability-Strategy-2021-2031-Final-March-2024.docx" TargetMode="External"/><Relationship Id="rId5" Type="http://schemas.openxmlformats.org/officeDocument/2006/relationships/numbering" Target="numbering.xml"/><Relationship Id="rId15" Type="http://schemas.openxmlformats.org/officeDocument/2006/relationships/hyperlink" Target="https://creativecommons.org/licenses/by-nc-sa/4.0/" TargetMode="External"/><Relationship Id="rId23" Type="http://schemas.openxmlformats.org/officeDocument/2006/relationships/hyperlink" Target="https://www.afdo.org.au/wp-content/uploads/2024/05/AFDO-Briefing-Paper-Accessible-Information-Across-the-Public-Service-Final.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fdo.org.au/members-2/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www.aph.gov.au/Parliamentary_Business/Committees/Senate/Autism/autism/Repor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11" ma:contentTypeDescription="Create a new document." ma:contentTypeScope="" ma:versionID="32907c809b6f8890df15e7cc7647bbda">
  <xsd:schema xmlns:xsd="http://www.w3.org/2001/XMLSchema" xmlns:xs="http://www.w3.org/2001/XMLSchema" xmlns:p="http://schemas.microsoft.com/office/2006/metadata/properties" xmlns:ns2="d928bd7b-031c-4455-8a79-7f373819dc6b" xmlns:ns3="ab55b9db-84fd-464a-b47c-8dbec3bb94bb" targetNamespace="http://schemas.microsoft.com/office/2006/metadata/properties" ma:root="true" ma:fieldsID="f5490f1e621c8098999df2a9080afb39" ns2:_="" ns3:_="">
    <xsd:import namespace="d928bd7b-031c-4455-8a79-7f373819dc6b"/>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98988-0C75-4227-9C3F-5B8194D04840}">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b55b9db-84fd-464a-b47c-8dbec3bb94bb"/>
    <ds:schemaRef ds:uri="dbe62e1d-16fa-414f-996b-3f1d53c379f1"/>
  </ds:schemaRefs>
</ds:datastoreItem>
</file>

<file path=customXml/itemProps2.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3.xml><?xml version="1.0" encoding="utf-8"?>
<ds:datastoreItem xmlns:ds="http://schemas.openxmlformats.org/officeDocument/2006/customXml" ds:itemID="{6E7374CE-9C7B-4451-A207-66215FAB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63A92-E3DC-4444-9FB3-1ABD37D8B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5167</Words>
  <Characters>29457</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Federation of Disability Organisations</dc:creator>
  <cp:keywords/>
  <dc:description/>
  <cp:lastModifiedBy>Tanya Huppatz (AFDO)</cp:lastModifiedBy>
  <cp:revision>2</cp:revision>
  <dcterms:created xsi:type="dcterms:W3CDTF">2024-06-19T00:17:00Z</dcterms:created>
  <dcterms:modified xsi:type="dcterms:W3CDTF">2024-06-19T00:17:00Z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4000</vt:r8>
  </property>
  <property fmtid="{D5CDD505-2E9C-101B-9397-08002B2CF9AE}" pid="4" name="MediaServiceImageTags">
    <vt:lpwstr/>
  </property>
</Properties>
</file>